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3A45" w14:textId="2F3E1811" w:rsidR="00EB4B92" w:rsidRPr="00202834" w:rsidRDefault="00EA5E5E" w:rsidP="001959BA">
      <w:pPr>
        <w:ind w:left="-284"/>
        <w:rPr>
          <w:rFonts w:ascii="Arial" w:hAnsi="Arial" w:cs="Arial"/>
          <w:b/>
          <w:sz w:val="20"/>
          <w:szCs w:val="20"/>
        </w:rPr>
      </w:pPr>
      <w:r>
        <w:rPr>
          <w:rFonts w:ascii="Arial" w:hAnsi="Arial" w:cs="Arial"/>
          <w:b/>
          <w:sz w:val="20"/>
          <w:szCs w:val="20"/>
        </w:rPr>
        <w:t>30 April 2025</w:t>
      </w:r>
    </w:p>
    <w:p w14:paraId="2DD6423C" w14:textId="77777777" w:rsidR="00EB4B92" w:rsidRPr="00202834" w:rsidRDefault="00EB4B92" w:rsidP="006F176D">
      <w:pPr>
        <w:rPr>
          <w:rFonts w:ascii="Arial" w:hAnsi="Arial" w:cs="Arial"/>
          <w:sz w:val="20"/>
          <w:szCs w:val="20"/>
        </w:rPr>
      </w:pPr>
      <w:r w:rsidRPr="00202834">
        <w:rPr>
          <w:rFonts w:ascii="Arial" w:hAnsi="Arial" w:cs="Arial"/>
          <w:sz w:val="20"/>
          <w:szCs w:val="20"/>
        </w:rPr>
        <w:t> </w:t>
      </w:r>
    </w:p>
    <w:p w14:paraId="0FB7B11F" w14:textId="77777777" w:rsidR="00EB4B92" w:rsidRPr="00202834" w:rsidRDefault="00E757F7" w:rsidP="006F176D">
      <w:pPr>
        <w:jc w:val="center"/>
        <w:rPr>
          <w:rFonts w:ascii="Arial" w:hAnsi="Arial" w:cs="Arial"/>
          <w:b/>
          <w:sz w:val="20"/>
          <w:szCs w:val="20"/>
        </w:rPr>
      </w:pPr>
      <w:r w:rsidRPr="00202834">
        <w:rPr>
          <w:rFonts w:ascii="Arial" w:hAnsi="Arial" w:cs="Arial"/>
          <w:b/>
          <w:sz w:val="20"/>
          <w:szCs w:val="20"/>
        </w:rPr>
        <w:t>BBGI</w:t>
      </w:r>
      <w:r w:rsidR="00E94414" w:rsidRPr="00202834">
        <w:rPr>
          <w:rFonts w:ascii="Arial" w:hAnsi="Arial" w:cs="Arial"/>
          <w:b/>
          <w:sz w:val="20"/>
          <w:szCs w:val="20"/>
        </w:rPr>
        <w:t xml:space="preserve"> </w:t>
      </w:r>
      <w:r w:rsidR="0057272E" w:rsidRPr="00202834">
        <w:rPr>
          <w:rFonts w:ascii="Arial" w:hAnsi="Arial" w:cs="Arial"/>
          <w:b/>
          <w:sz w:val="20"/>
          <w:szCs w:val="20"/>
        </w:rPr>
        <w:t xml:space="preserve">Global Infrastructure </w:t>
      </w:r>
      <w:r w:rsidR="00E94414" w:rsidRPr="00202834">
        <w:rPr>
          <w:rFonts w:ascii="Arial" w:hAnsi="Arial" w:cs="Arial"/>
          <w:b/>
          <w:sz w:val="20"/>
          <w:szCs w:val="20"/>
        </w:rPr>
        <w:t>S.A.</w:t>
      </w:r>
    </w:p>
    <w:p w14:paraId="1512A404" w14:textId="77777777" w:rsidR="008F17AE" w:rsidRDefault="00F2659B" w:rsidP="004747AB">
      <w:pPr>
        <w:jc w:val="center"/>
        <w:rPr>
          <w:rFonts w:ascii="Arial" w:hAnsi="Arial" w:cs="Arial"/>
          <w:b/>
          <w:bCs/>
          <w:sz w:val="20"/>
          <w:szCs w:val="20"/>
          <w:lang w:val="en"/>
        </w:rPr>
      </w:pPr>
      <w:r>
        <w:rPr>
          <w:rFonts w:ascii="Arial" w:hAnsi="Arial" w:cs="Arial"/>
          <w:b/>
          <w:bCs/>
          <w:sz w:val="20"/>
          <w:szCs w:val="20"/>
          <w:lang w:val="en"/>
        </w:rPr>
        <w:t>(the “Company”)</w:t>
      </w:r>
    </w:p>
    <w:p w14:paraId="072AF84F" w14:textId="77777777" w:rsidR="00F2659B" w:rsidRPr="006C28D8" w:rsidRDefault="00F2659B" w:rsidP="004747AB">
      <w:pPr>
        <w:jc w:val="center"/>
        <w:rPr>
          <w:rFonts w:ascii="Arial" w:hAnsi="Arial" w:cs="Arial"/>
          <w:b/>
          <w:bCs/>
          <w:sz w:val="20"/>
          <w:szCs w:val="20"/>
          <w:lang w:val="en"/>
        </w:rPr>
      </w:pPr>
    </w:p>
    <w:p w14:paraId="1684B3C9" w14:textId="77777777" w:rsidR="00EB4B92" w:rsidRDefault="00EB4B92" w:rsidP="00B26D55">
      <w:pPr>
        <w:jc w:val="center"/>
        <w:rPr>
          <w:rFonts w:ascii="Arial" w:hAnsi="Arial" w:cs="Arial"/>
          <w:b/>
          <w:sz w:val="20"/>
          <w:szCs w:val="20"/>
          <w:lang w:val="en"/>
        </w:rPr>
      </w:pPr>
      <w:r w:rsidRPr="006C28D8">
        <w:rPr>
          <w:rFonts w:ascii="Arial" w:hAnsi="Arial" w:cs="Arial"/>
          <w:b/>
          <w:bCs/>
          <w:sz w:val="20"/>
          <w:szCs w:val="20"/>
          <w:lang w:val="en"/>
        </w:rPr>
        <w:t>Results of Annual General Meeting</w:t>
      </w:r>
    </w:p>
    <w:p w14:paraId="7BF1EBA0" w14:textId="77777777" w:rsidR="00B26D55" w:rsidRPr="00B26D55" w:rsidRDefault="00B26D55" w:rsidP="00B26D55">
      <w:pPr>
        <w:rPr>
          <w:rFonts w:ascii="Arial" w:hAnsi="Arial" w:cs="Arial"/>
          <w:b/>
          <w:sz w:val="20"/>
          <w:szCs w:val="20"/>
          <w:lang w:val="en"/>
        </w:rPr>
      </w:pPr>
    </w:p>
    <w:p w14:paraId="0AE94F84" w14:textId="10ACD9E3" w:rsidR="00B26D55" w:rsidRDefault="003A5830" w:rsidP="00B26D55">
      <w:pPr>
        <w:ind w:left="-284" w:right="-284"/>
        <w:jc w:val="both"/>
        <w:rPr>
          <w:rFonts w:ascii="Arial" w:hAnsi="Arial" w:cs="Arial"/>
          <w:sz w:val="20"/>
          <w:szCs w:val="20"/>
          <w:lang w:val="en"/>
        </w:rPr>
      </w:pPr>
      <w:r w:rsidRPr="006C28D8">
        <w:rPr>
          <w:rFonts w:ascii="Arial" w:hAnsi="Arial" w:cs="Arial"/>
          <w:sz w:val="20"/>
          <w:szCs w:val="20"/>
        </w:rPr>
        <w:t>BBGI</w:t>
      </w:r>
      <w:r w:rsidR="00E94414" w:rsidRPr="006C28D8">
        <w:rPr>
          <w:rFonts w:ascii="Arial" w:hAnsi="Arial" w:cs="Arial"/>
          <w:sz w:val="20"/>
          <w:szCs w:val="20"/>
        </w:rPr>
        <w:t xml:space="preserve"> </w:t>
      </w:r>
      <w:r w:rsidR="0057272E">
        <w:rPr>
          <w:rFonts w:ascii="Arial" w:hAnsi="Arial" w:cs="Arial"/>
          <w:sz w:val="20"/>
          <w:szCs w:val="20"/>
        </w:rPr>
        <w:t xml:space="preserve">Global Infrastructure </w:t>
      </w:r>
      <w:r w:rsidR="00E94414" w:rsidRPr="006C28D8">
        <w:rPr>
          <w:rFonts w:ascii="Arial" w:hAnsi="Arial" w:cs="Arial"/>
          <w:sz w:val="20"/>
          <w:szCs w:val="20"/>
        </w:rPr>
        <w:t>S.A.</w:t>
      </w:r>
      <w:r w:rsidR="002B2641" w:rsidRPr="006C28D8">
        <w:rPr>
          <w:rFonts w:ascii="Arial" w:hAnsi="Arial" w:cs="Arial"/>
          <w:sz w:val="20"/>
          <w:szCs w:val="20"/>
        </w:rPr>
        <w:t xml:space="preserve"> (</w:t>
      </w:r>
      <w:r w:rsidR="00F2659B">
        <w:rPr>
          <w:rFonts w:ascii="Arial" w:hAnsi="Arial" w:cs="Arial"/>
          <w:sz w:val="20"/>
          <w:szCs w:val="20"/>
        </w:rPr>
        <w:t>LSE ticker: BBGI</w:t>
      </w:r>
      <w:r w:rsidR="002B2641" w:rsidRPr="006C28D8">
        <w:rPr>
          <w:rFonts w:ascii="Arial" w:hAnsi="Arial" w:cs="Arial"/>
          <w:sz w:val="20"/>
          <w:szCs w:val="20"/>
        </w:rPr>
        <w:t>)</w:t>
      </w:r>
      <w:r w:rsidR="00F2659B">
        <w:rPr>
          <w:rFonts w:ascii="Arial" w:hAnsi="Arial" w:cs="Arial"/>
          <w:sz w:val="20"/>
          <w:szCs w:val="20"/>
        </w:rPr>
        <w:t xml:space="preserve">, the </w:t>
      </w:r>
      <w:r w:rsidR="0057272E">
        <w:rPr>
          <w:rFonts w:ascii="Arial" w:hAnsi="Arial" w:cs="Arial"/>
          <w:sz w:val="20"/>
          <w:szCs w:val="20"/>
        </w:rPr>
        <w:t>global</w:t>
      </w:r>
      <w:r w:rsidR="002333AE">
        <w:rPr>
          <w:rFonts w:ascii="Arial" w:hAnsi="Arial" w:cs="Arial"/>
          <w:sz w:val="20"/>
          <w:szCs w:val="20"/>
        </w:rPr>
        <w:t xml:space="preserve"> </w:t>
      </w:r>
      <w:r w:rsidR="00F2659B">
        <w:rPr>
          <w:rFonts w:ascii="Arial" w:hAnsi="Arial" w:cs="Arial"/>
          <w:sz w:val="20"/>
          <w:szCs w:val="20"/>
        </w:rPr>
        <w:t>infrastructure investment company,</w:t>
      </w:r>
      <w:r w:rsidR="002B2641" w:rsidRPr="006C28D8">
        <w:rPr>
          <w:rFonts w:ascii="Arial" w:hAnsi="Arial" w:cs="Arial"/>
          <w:sz w:val="20"/>
          <w:szCs w:val="20"/>
        </w:rPr>
        <w:t xml:space="preserve"> is pleased to</w:t>
      </w:r>
      <w:r w:rsidR="00E94414" w:rsidRPr="006C28D8">
        <w:rPr>
          <w:rFonts w:ascii="Arial" w:hAnsi="Arial" w:cs="Arial"/>
          <w:sz w:val="20"/>
          <w:szCs w:val="20"/>
        </w:rPr>
        <w:t xml:space="preserve"> </w:t>
      </w:r>
      <w:r w:rsidR="00EB4B92" w:rsidRPr="006C28D8">
        <w:rPr>
          <w:rFonts w:ascii="Arial" w:hAnsi="Arial" w:cs="Arial"/>
          <w:sz w:val="20"/>
          <w:szCs w:val="20"/>
          <w:lang w:val="en"/>
        </w:rPr>
        <w:t>announce that</w:t>
      </w:r>
      <w:r w:rsidR="006F176D" w:rsidRPr="006C28D8">
        <w:rPr>
          <w:rFonts w:ascii="Arial" w:hAnsi="Arial" w:cs="Arial"/>
          <w:sz w:val="20"/>
          <w:szCs w:val="20"/>
          <w:lang w:val="en"/>
        </w:rPr>
        <w:t>,</w:t>
      </w:r>
      <w:r w:rsidR="00EB4B92" w:rsidRPr="006C28D8">
        <w:rPr>
          <w:rFonts w:ascii="Arial" w:hAnsi="Arial" w:cs="Arial"/>
          <w:sz w:val="20"/>
          <w:szCs w:val="20"/>
          <w:lang w:val="en"/>
        </w:rPr>
        <w:t xml:space="preserve"> </w:t>
      </w:r>
      <w:r w:rsidR="006F176D" w:rsidRPr="006C28D8">
        <w:rPr>
          <w:rFonts w:ascii="Arial" w:hAnsi="Arial" w:cs="Arial"/>
          <w:sz w:val="20"/>
          <w:szCs w:val="20"/>
          <w:lang w:val="en"/>
        </w:rPr>
        <w:t xml:space="preserve">at the </w:t>
      </w:r>
      <w:r w:rsidR="0059660C">
        <w:rPr>
          <w:rFonts w:ascii="Arial" w:hAnsi="Arial" w:cs="Arial"/>
          <w:sz w:val="20"/>
          <w:szCs w:val="20"/>
          <w:lang w:val="en"/>
        </w:rPr>
        <w:t xml:space="preserve">fourteenth </w:t>
      </w:r>
      <w:r w:rsidR="006F176D" w:rsidRPr="006C28D8">
        <w:rPr>
          <w:rFonts w:ascii="Arial" w:hAnsi="Arial" w:cs="Arial"/>
          <w:sz w:val="20"/>
          <w:szCs w:val="20"/>
          <w:lang w:val="en"/>
        </w:rPr>
        <w:t xml:space="preserve">Annual General Meeting of the Company held </w:t>
      </w:r>
      <w:r w:rsidR="00EA5E5E">
        <w:rPr>
          <w:rFonts w:ascii="Arial" w:hAnsi="Arial" w:cs="Arial"/>
          <w:sz w:val="20"/>
          <w:szCs w:val="20"/>
          <w:lang w:val="en"/>
        </w:rPr>
        <w:t>today</w:t>
      </w:r>
      <w:r w:rsidR="006F176D" w:rsidRPr="006C28D8">
        <w:rPr>
          <w:rFonts w:ascii="Arial" w:hAnsi="Arial" w:cs="Arial"/>
          <w:sz w:val="20"/>
          <w:szCs w:val="20"/>
          <w:lang w:val="en"/>
        </w:rPr>
        <w:t xml:space="preserve">, </w:t>
      </w:r>
      <w:r w:rsidR="00202834">
        <w:rPr>
          <w:rFonts w:ascii="Arial" w:hAnsi="Arial" w:cs="Arial"/>
          <w:sz w:val="20"/>
          <w:szCs w:val="20"/>
          <w:lang w:val="en"/>
        </w:rPr>
        <w:t>30</w:t>
      </w:r>
      <w:r w:rsidR="009A705E" w:rsidRPr="006C28D8">
        <w:rPr>
          <w:rFonts w:ascii="Arial" w:hAnsi="Arial" w:cs="Arial"/>
          <w:sz w:val="20"/>
          <w:szCs w:val="20"/>
          <w:lang w:val="en"/>
        </w:rPr>
        <w:t xml:space="preserve"> </w:t>
      </w:r>
      <w:r w:rsidR="00E94414" w:rsidRPr="006C28D8">
        <w:rPr>
          <w:rFonts w:ascii="Arial" w:hAnsi="Arial" w:cs="Arial"/>
          <w:sz w:val="20"/>
          <w:szCs w:val="20"/>
          <w:lang w:val="en"/>
        </w:rPr>
        <w:t xml:space="preserve">April </w:t>
      </w:r>
      <w:r w:rsidR="00EA5E5E" w:rsidRPr="006C28D8">
        <w:rPr>
          <w:rFonts w:ascii="Arial" w:hAnsi="Arial" w:cs="Arial"/>
          <w:sz w:val="20"/>
          <w:szCs w:val="20"/>
          <w:lang w:val="en"/>
        </w:rPr>
        <w:t>20</w:t>
      </w:r>
      <w:r w:rsidR="00EA5E5E">
        <w:rPr>
          <w:rFonts w:ascii="Arial" w:hAnsi="Arial" w:cs="Arial"/>
          <w:sz w:val="20"/>
          <w:szCs w:val="20"/>
          <w:lang w:val="en"/>
        </w:rPr>
        <w:t>25</w:t>
      </w:r>
      <w:r w:rsidR="002B2641" w:rsidRPr="006C28D8">
        <w:rPr>
          <w:rFonts w:ascii="Arial" w:hAnsi="Arial" w:cs="Arial"/>
          <w:sz w:val="20"/>
          <w:szCs w:val="20"/>
          <w:lang w:val="en"/>
        </w:rPr>
        <w:t>,</w:t>
      </w:r>
      <w:r w:rsidR="006F176D" w:rsidRPr="006C28D8">
        <w:rPr>
          <w:rFonts w:ascii="Arial" w:hAnsi="Arial" w:cs="Arial"/>
          <w:sz w:val="20"/>
          <w:szCs w:val="20"/>
          <w:lang w:val="en"/>
        </w:rPr>
        <w:t xml:space="preserve"> </w:t>
      </w:r>
      <w:r w:rsidR="002B2641" w:rsidRPr="006C28D8">
        <w:rPr>
          <w:rFonts w:ascii="Arial" w:hAnsi="Arial" w:cs="Arial"/>
          <w:sz w:val="20"/>
          <w:szCs w:val="20"/>
          <w:lang w:val="en"/>
        </w:rPr>
        <w:t>each of the R</w:t>
      </w:r>
      <w:r w:rsidR="006F176D" w:rsidRPr="006C28D8">
        <w:rPr>
          <w:rFonts w:ascii="Arial" w:hAnsi="Arial" w:cs="Arial"/>
          <w:sz w:val="20"/>
          <w:szCs w:val="20"/>
          <w:lang w:val="en"/>
        </w:rPr>
        <w:t xml:space="preserve">esolutions </w:t>
      </w:r>
      <w:r w:rsidR="002B2641" w:rsidRPr="006C28D8">
        <w:rPr>
          <w:rFonts w:ascii="Arial" w:hAnsi="Arial" w:cs="Arial"/>
          <w:sz w:val="20"/>
          <w:szCs w:val="20"/>
          <w:lang w:val="en"/>
        </w:rPr>
        <w:t xml:space="preserve">was duly </w:t>
      </w:r>
      <w:r w:rsidR="006F176D" w:rsidRPr="006C28D8">
        <w:rPr>
          <w:rFonts w:ascii="Arial" w:hAnsi="Arial" w:cs="Arial"/>
          <w:sz w:val="20"/>
          <w:szCs w:val="20"/>
          <w:lang w:val="en"/>
        </w:rPr>
        <w:t>approved by sh</w:t>
      </w:r>
      <w:r w:rsidR="00E94414" w:rsidRPr="006C28D8">
        <w:rPr>
          <w:rFonts w:ascii="Arial" w:hAnsi="Arial" w:cs="Arial"/>
          <w:sz w:val="20"/>
          <w:szCs w:val="20"/>
          <w:lang w:val="en"/>
        </w:rPr>
        <w:t>areholders.</w:t>
      </w:r>
    </w:p>
    <w:p w14:paraId="339C2E21" w14:textId="77777777" w:rsidR="006F176D" w:rsidRPr="006C28D8" w:rsidRDefault="006F176D" w:rsidP="00B26D55">
      <w:pPr>
        <w:ind w:left="-284" w:right="-284"/>
        <w:jc w:val="both"/>
        <w:rPr>
          <w:rFonts w:ascii="Arial" w:hAnsi="Arial" w:cs="Arial"/>
          <w:sz w:val="20"/>
          <w:szCs w:val="20"/>
          <w:lang w:val="en"/>
        </w:rPr>
      </w:pPr>
      <w:r w:rsidRPr="006C28D8">
        <w:rPr>
          <w:rFonts w:ascii="Arial" w:hAnsi="Arial" w:cs="Arial"/>
          <w:sz w:val="20"/>
          <w:szCs w:val="20"/>
          <w:lang w:val="en"/>
        </w:rPr>
        <w:t> </w:t>
      </w:r>
    </w:p>
    <w:p w14:paraId="09A28427" w14:textId="77777777" w:rsidR="006F176D" w:rsidRDefault="006F176D" w:rsidP="001959BA">
      <w:pPr>
        <w:ind w:left="-284"/>
        <w:rPr>
          <w:rFonts w:ascii="Arial" w:hAnsi="Arial" w:cs="Arial"/>
          <w:sz w:val="20"/>
          <w:szCs w:val="20"/>
          <w:lang w:val="en"/>
        </w:rPr>
      </w:pPr>
      <w:r w:rsidRPr="006C28D8">
        <w:rPr>
          <w:rFonts w:ascii="Arial" w:hAnsi="Arial" w:cs="Arial"/>
          <w:sz w:val="20"/>
          <w:szCs w:val="20"/>
          <w:lang w:val="en"/>
        </w:rPr>
        <w:t xml:space="preserve">Details of the votes </w:t>
      </w:r>
      <w:r w:rsidR="00E94414" w:rsidRPr="006C28D8">
        <w:rPr>
          <w:rFonts w:ascii="Arial" w:hAnsi="Arial" w:cs="Arial"/>
          <w:sz w:val="20"/>
          <w:szCs w:val="20"/>
          <w:lang w:val="en"/>
        </w:rPr>
        <w:t xml:space="preserve">validly cast </w:t>
      </w:r>
      <w:r w:rsidRPr="006C28D8">
        <w:rPr>
          <w:rFonts w:ascii="Arial" w:hAnsi="Arial" w:cs="Arial"/>
          <w:sz w:val="20"/>
          <w:szCs w:val="20"/>
          <w:lang w:val="en"/>
        </w:rPr>
        <w:t>are set out below:</w:t>
      </w:r>
    </w:p>
    <w:p w14:paraId="3AB48FAE" w14:textId="77777777" w:rsidR="006C28D8" w:rsidRPr="006C28D8" w:rsidRDefault="006C28D8" w:rsidP="006F176D">
      <w:pPr>
        <w:rPr>
          <w:rFonts w:ascii="Arial" w:hAnsi="Arial" w:cs="Arial"/>
          <w:sz w:val="20"/>
          <w:szCs w:val="20"/>
          <w:lang w:val="en"/>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46"/>
        <w:gridCol w:w="1446"/>
        <w:gridCol w:w="1276"/>
        <w:gridCol w:w="1247"/>
      </w:tblGrid>
      <w:tr w:rsidR="001959BA" w:rsidRPr="006C28D8" w14:paraId="70D53ABC" w14:textId="77777777" w:rsidTr="00362F3E">
        <w:trPr>
          <w:trHeight w:val="397"/>
        </w:trPr>
        <w:tc>
          <w:tcPr>
            <w:tcW w:w="6380" w:type="dxa"/>
            <w:gridSpan w:val="2"/>
            <w:vAlign w:val="center"/>
          </w:tcPr>
          <w:p w14:paraId="3BF8D2F0" w14:textId="77777777" w:rsidR="001959BA" w:rsidRPr="006C28D8" w:rsidRDefault="001959BA" w:rsidP="001959BA">
            <w:pPr>
              <w:jc w:val="center"/>
              <w:rPr>
                <w:rFonts w:ascii="Arial" w:hAnsi="Arial" w:cs="Arial"/>
                <w:b/>
                <w:sz w:val="20"/>
                <w:szCs w:val="20"/>
                <w:lang w:val="en"/>
              </w:rPr>
            </w:pPr>
            <w:r w:rsidRPr="006C28D8">
              <w:rPr>
                <w:rFonts w:ascii="Arial" w:hAnsi="Arial" w:cs="Arial"/>
                <w:b/>
                <w:sz w:val="20"/>
                <w:szCs w:val="20"/>
              </w:rPr>
              <w:t>Ordinary Resolutions</w:t>
            </w:r>
          </w:p>
        </w:tc>
        <w:tc>
          <w:tcPr>
            <w:tcW w:w="1446" w:type="dxa"/>
            <w:vAlign w:val="center"/>
          </w:tcPr>
          <w:p w14:paraId="53C11B07" w14:textId="77777777" w:rsidR="001959BA" w:rsidRPr="006C28D8" w:rsidRDefault="001959BA" w:rsidP="001959BA">
            <w:pPr>
              <w:jc w:val="center"/>
              <w:rPr>
                <w:rFonts w:ascii="Arial" w:hAnsi="Arial" w:cs="Arial"/>
                <w:b/>
                <w:sz w:val="20"/>
                <w:szCs w:val="20"/>
                <w:lang w:val="en"/>
              </w:rPr>
            </w:pPr>
            <w:r w:rsidRPr="006C28D8">
              <w:rPr>
                <w:rFonts w:ascii="Arial" w:hAnsi="Arial" w:cs="Arial"/>
                <w:b/>
                <w:sz w:val="20"/>
                <w:szCs w:val="20"/>
                <w:lang w:val="en"/>
              </w:rPr>
              <w:t>For</w:t>
            </w:r>
          </w:p>
        </w:tc>
        <w:tc>
          <w:tcPr>
            <w:tcW w:w="1276" w:type="dxa"/>
            <w:vAlign w:val="center"/>
          </w:tcPr>
          <w:p w14:paraId="3236AD37" w14:textId="77777777" w:rsidR="001959BA" w:rsidRPr="006C28D8" w:rsidRDefault="001959BA" w:rsidP="001959BA">
            <w:pPr>
              <w:jc w:val="center"/>
              <w:rPr>
                <w:rFonts w:ascii="Arial" w:hAnsi="Arial" w:cs="Arial"/>
                <w:b/>
                <w:sz w:val="20"/>
                <w:szCs w:val="20"/>
                <w:lang w:val="en"/>
              </w:rPr>
            </w:pPr>
            <w:r w:rsidRPr="006C28D8">
              <w:rPr>
                <w:rFonts w:ascii="Arial" w:hAnsi="Arial" w:cs="Arial"/>
                <w:b/>
                <w:sz w:val="20"/>
                <w:szCs w:val="20"/>
                <w:lang w:val="en"/>
              </w:rPr>
              <w:t>Against</w:t>
            </w:r>
          </w:p>
        </w:tc>
        <w:tc>
          <w:tcPr>
            <w:tcW w:w="1247" w:type="dxa"/>
            <w:vAlign w:val="center"/>
          </w:tcPr>
          <w:p w14:paraId="769FF05E" w14:textId="77777777" w:rsidR="001959BA" w:rsidRPr="006C28D8" w:rsidRDefault="001959BA" w:rsidP="001959BA">
            <w:pPr>
              <w:jc w:val="center"/>
              <w:rPr>
                <w:rFonts w:ascii="Arial" w:hAnsi="Arial" w:cs="Arial"/>
                <w:b/>
                <w:sz w:val="20"/>
                <w:szCs w:val="20"/>
                <w:lang w:val="en"/>
              </w:rPr>
            </w:pPr>
            <w:r w:rsidRPr="006C28D8">
              <w:rPr>
                <w:rFonts w:ascii="Arial" w:hAnsi="Arial" w:cs="Arial"/>
                <w:b/>
                <w:sz w:val="20"/>
                <w:szCs w:val="20"/>
                <w:lang w:val="en"/>
              </w:rPr>
              <w:t>Withheld</w:t>
            </w:r>
            <w:r w:rsidR="00B26D55">
              <w:rPr>
                <w:rFonts w:ascii="Arial" w:hAnsi="Arial" w:cs="Arial"/>
                <w:b/>
                <w:sz w:val="20"/>
                <w:szCs w:val="20"/>
                <w:lang w:val="en"/>
              </w:rPr>
              <w:t xml:space="preserve"> </w:t>
            </w:r>
            <w:r w:rsidRPr="006C28D8">
              <w:rPr>
                <w:rFonts w:ascii="Arial" w:hAnsi="Arial" w:cs="Arial"/>
                <w:b/>
                <w:sz w:val="20"/>
                <w:szCs w:val="20"/>
                <w:lang w:val="en"/>
              </w:rPr>
              <w:t>*</w:t>
            </w:r>
          </w:p>
        </w:tc>
      </w:tr>
      <w:tr w:rsidR="00221F1F" w:rsidRPr="006C28D8" w14:paraId="3FA28677" w14:textId="77777777" w:rsidTr="00362F3E">
        <w:trPr>
          <w:trHeight w:val="850"/>
        </w:trPr>
        <w:tc>
          <w:tcPr>
            <w:tcW w:w="534" w:type="dxa"/>
            <w:vAlign w:val="center"/>
          </w:tcPr>
          <w:p w14:paraId="3F3B306A" w14:textId="77777777" w:rsidR="00221F1F" w:rsidRPr="006C28D8" w:rsidRDefault="00221F1F" w:rsidP="00221F1F">
            <w:pPr>
              <w:jc w:val="center"/>
              <w:rPr>
                <w:rFonts w:ascii="Arial" w:hAnsi="Arial" w:cs="Arial"/>
                <w:sz w:val="20"/>
                <w:szCs w:val="20"/>
              </w:rPr>
            </w:pPr>
            <w:r>
              <w:rPr>
                <w:rFonts w:ascii="Arial" w:hAnsi="Arial" w:cs="Arial"/>
                <w:sz w:val="20"/>
                <w:szCs w:val="20"/>
              </w:rPr>
              <w:t>1.</w:t>
            </w:r>
          </w:p>
        </w:tc>
        <w:tc>
          <w:tcPr>
            <w:tcW w:w="5846" w:type="dxa"/>
            <w:vAlign w:val="center"/>
          </w:tcPr>
          <w:p w14:paraId="5CBD1E8F" w14:textId="08132AA3" w:rsidR="00221F1F" w:rsidRPr="006C28D8" w:rsidRDefault="00221F1F" w:rsidP="00221F1F">
            <w:pPr>
              <w:jc w:val="both"/>
              <w:rPr>
                <w:rFonts w:ascii="Arial" w:hAnsi="Arial" w:cs="Arial"/>
                <w:sz w:val="20"/>
                <w:szCs w:val="20"/>
                <w:lang w:val="en"/>
              </w:rPr>
            </w:pPr>
            <w:r w:rsidRPr="006C28D8">
              <w:rPr>
                <w:rFonts w:ascii="Arial" w:hAnsi="Arial" w:cs="Arial"/>
                <w:sz w:val="20"/>
                <w:szCs w:val="20"/>
              </w:rPr>
              <w:t>Presentation of the reports of (</w:t>
            </w:r>
            <w:proofErr w:type="spellStart"/>
            <w:r w:rsidRPr="006C28D8">
              <w:rPr>
                <w:rFonts w:ascii="Arial" w:hAnsi="Arial" w:cs="Arial"/>
                <w:sz w:val="20"/>
                <w:szCs w:val="20"/>
              </w:rPr>
              <w:t>i</w:t>
            </w:r>
            <w:proofErr w:type="spellEnd"/>
            <w:r w:rsidRPr="006C28D8">
              <w:rPr>
                <w:rFonts w:ascii="Arial" w:hAnsi="Arial" w:cs="Arial"/>
                <w:sz w:val="20"/>
                <w:szCs w:val="20"/>
              </w:rPr>
              <w:t xml:space="preserve">) the Management Board and (ii) the Independent Auditor on the Company’s activities during the financial </w:t>
            </w:r>
            <w:r>
              <w:rPr>
                <w:rFonts w:ascii="Arial" w:hAnsi="Arial" w:cs="Arial"/>
                <w:sz w:val="20"/>
                <w:szCs w:val="20"/>
              </w:rPr>
              <w:t>y</w:t>
            </w:r>
            <w:r w:rsidRPr="006C28D8">
              <w:rPr>
                <w:rFonts w:ascii="Arial" w:hAnsi="Arial" w:cs="Arial"/>
                <w:sz w:val="20"/>
                <w:szCs w:val="20"/>
              </w:rPr>
              <w:t>e</w:t>
            </w:r>
            <w:r>
              <w:rPr>
                <w:rFonts w:ascii="Arial" w:hAnsi="Arial" w:cs="Arial"/>
                <w:sz w:val="20"/>
                <w:szCs w:val="20"/>
              </w:rPr>
              <w:t>a</w:t>
            </w:r>
            <w:r w:rsidRPr="006C28D8">
              <w:rPr>
                <w:rFonts w:ascii="Arial" w:hAnsi="Arial" w:cs="Arial"/>
                <w:sz w:val="20"/>
                <w:szCs w:val="20"/>
              </w:rPr>
              <w:t>r ended 31 December 20</w:t>
            </w:r>
            <w:r>
              <w:rPr>
                <w:rFonts w:ascii="Arial" w:hAnsi="Arial" w:cs="Arial"/>
                <w:sz w:val="20"/>
                <w:szCs w:val="20"/>
              </w:rPr>
              <w:t>24</w:t>
            </w:r>
          </w:p>
        </w:tc>
        <w:tc>
          <w:tcPr>
            <w:tcW w:w="1446" w:type="dxa"/>
            <w:vAlign w:val="center"/>
          </w:tcPr>
          <w:p w14:paraId="5E4A3BCC" w14:textId="62575F8B"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346,659,983</w:t>
            </w:r>
          </w:p>
        </w:tc>
        <w:tc>
          <w:tcPr>
            <w:tcW w:w="1276" w:type="dxa"/>
            <w:vAlign w:val="center"/>
          </w:tcPr>
          <w:p w14:paraId="60E4F7DE" w14:textId="4CF93767"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5,036</w:t>
            </w:r>
          </w:p>
        </w:tc>
        <w:tc>
          <w:tcPr>
            <w:tcW w:w="1247" w:type="dxa"/>
            <w:vAlign w:val="center"/>
          </w:tcPr>
          <w:p w14:paraId="4B05FC07" w14:textId="0FCF5771"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16,997,589</w:t>
            </w:r>
          </w:p>
        </w:tc>
      </w:tr>
      <w:tr w:rsidR="00221F1F" w:rsidRPr="006C28D8" w14:paraId="3E42FD36" w14:textId="77777777" w:rsidTr="00362F3E">
        <w:trPr>
          <w:trHeight w:val="1077"/>
        </w:trPr>
        <w:tc>
          <w:tcPr>
            <w:tcW w:w="534" w:type="dxa"/>
            <w:vAlign w:val="center"/>
          </w:tcPr>
          <w:p w14:paraId="590D489D" w14:textId="77777777" w:rsidR="00221F1F" w:rsidRPr="006C28D8" w:rsidRDefault="00221F1F" w:rsidP="00221F1F">
            <w:pPr>
              <w:jc w:val="center"/>
              <w:rPr>
                <w:rFonts w:ascii="Arial" w:hAnsi="Arial" w:cs="Arial"/>
                <w:sz w:val="20"/>
                <w:szCs w:val="20"/>
              </w:rPr>
            </w:pPr>
            <w:r>
              <w:rPr>
                <w:rFonts w:ascii="Arial" w:hAnsi="Arial" w:cs="Arial"/>
                <w:sz w:val="20"/>
                <w:szCs w:val="20"/>
              </w:rPr>
              <w:t>2.</w:t>
            </w:r>
          </w:p>
        </w:tc>
        <w:tc>
          <w:tcPr>
            <w:tcW w:w="5846" w:type="dxa"/>
            <w:vAlign w:val="center"/>
          </w:tcPr>
          <w:p w14:paraId="6DA79084" w14:textId="429DC2B4"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Review and approval of the standalone financial statements of the Company for the financial </w:t>
            </w:r>
            <w:r>
              <w:rPr>
                <w:rFonts w:ascii="Arial" w:hAnsi="Arial" w:cs="Arial"/>
                <w:sz w:val="20"/>
                <w:szCs w:val="20"/>
              </w:rPr>
              <w:t xml:space="preserve">year </w:t>
            </w:r>
            <w:r w:rsidRPr="006C28D8">
              <w:rPr>
                <w:rFonts w:ascii="Arial" w:hAnsi="Arial" w:cs="Arial"/>
                <w:sz w:val="20"/>
                <w:szCs w:val="20"/>
              </w:rPr>
              <w:t>which ended on 31 December 20</w:t>
            </w:r>
            <w:r>
              <w:rPr>
                <w:rFonts w:ascii="Arial" w:hAnsi="Arial" w:cs="Arial"/>
                <w:sz w:val="20"/>
                <w:szCs w:val="20"/>
              </w:rPr>
              <w:t>24,</w:t>
            </w:r>
            <w:r w:rsidRPr="006C28D8">
              <w:rPr>
                <w:rFonts w:ascii="Arial" w:hAnsi="Arial" w:cs="Arial"/>
                <w:sz w:val="20"/>
                <w:szCs w:val="20"/>
              </w:rPr>
              <w:t xml:space="preserve"> allocation of the results</w:t>
            </w:r>
            <w:r>
              <w:rPr>
                <w:rFonts w:ascii="Arial" w:hAnsi="Arial" w:cs="Arial"/>
                <w:sz w:val="20"/>
                <w:szCs w:val="20"/>
              </w:rPr>
              <w:t xml:space="preserve"> and payment of a dividend</w:t>
            </w:r>
          </w:p>
        </w:tc>
        <w:tc>
          <w:tcPr>
            <w:tcW w:w="1446" w:type="dxa"/>
            <w:vAlign w:val="center"/>
          </w:tcPr>
          <w:p w14:paraId="505FFDDB" w14:textId="394354CC"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346,661,959</w:t>
            </w:r>
          </w:p>
        </w:tc>
        <w:tc>
          <w:tcPr>
            <w:tcW w:w="1276" w:type="dxa"/>
            <w:vAlign w:val="center"/>
          </w:tcPr>
          <w:p w14:paraId="0D9A959A" w14:textId="6718F50B"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4,036</w:t>
            </w:r>
          </w:p>
        </w:tc>
        <w:tc>
          <w:tcPr>
            <w:tcW w:w="1247" w:type="dxa"/>
            <w:vAlign w:val="center"/>
          </w:tcPr>
          <w:p w14:paraId="7E69DCA7" w14:textId="437D8628"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16,996,613</w:t>
            </w:r>
          </w:p>
        </w:tc>
      </w:tr>
      <w:tr w:rsidR="00221F1F" w:rsidRPr="006C28D8" w14:paraId="2922C83F" w14:textId="77777777" w:rsidTr="00362F3E">
        <w:trPr>
          <w:trHeight w:val="850"/>
        </w:trPr>
        <w:tc>
          <w:tcPr>
            <w:tcW w:w="534" w:type="dxa"/>
            <w:vAlign w:val="center"/>
          </w:tcPr>
          <w:p w14:paraId="2AF8D4EA" w14:textId="77777777" w:rsidR="00221F1F" w:rsidRPr="006C28D8" w:rsidRDefault="00221F1F" w:rsidP="00221F1F">
            <w:pPr>
              <w:jc w:val="center"/>
              <w:rPr>
                <w:rFonts w:ascii="Arial" w:hAnsi="Arial" w:cs="Arial"/>
                <w:sz w:val="20"/>
                <w:szCs w:val="20"/>
              </w:rPr>
            </w:pPr>
            <w:r>
              <w:rPr>
                <w:rFonts w:ascii="Arial" w:hAnsi="Arial" w:cs="Arial"/>
                <w:sz w:val="20"/>
                <w:szCs w:val="20"/>
              </w:rPr>
              <w:t>3.</w:t>
            </w:r>
          </w:p>
        </w:tc>
        <w:tc>
          <w:tcPr>
            <w:tcW w:w="5846" w:type="dxa"/>
            <w:vAlign w:val="center"/>
          </w:tcPr>
          <w:p w14:paraId="270CD5BF" w14:textId="5EAE1122"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Review and approval of the consolidated financial statements of the Company for the financial year </w:t>
            </w:r>
            <w:r>
              <w:rPr>
                <w:rFonts w:ascii="Arial" w:hAnsi="Arial" w:cs="Arial"/>
                <w:sz w:val="20"/>
                <w:szCs w:val="20"/>
              </w:rPr>
              <w:t>which ended on</w:t>
            </w:r>
            <w:r w:rsidRPr="006C28D8">
              <w:rPr>
                <w:rFonts w:ascii="Arial" w:hAnsi="Arial" w:cs="Arial"/>
                <w:sz w:val="20"/>
                <w:szCs w:val="20"/>
              </w:rPr>
              <w:t xml:space="preserve"> 31 December 20</w:t>
            </w:r>
            <w:r>
              <w:rPr>
                <w:rFonts w:ascii="Arial" w:hAnsi="Arial" w:cs="Arial"/>
                <w:sz w:val="20"/>
                <w:szCs w:val="20"/>
              </w:rPr>
              <w:t>24</w:t>
            </w:r>
          </w:p>
        </w:tc>
        <w:tc>
          <w:tcPr>
            <w:tcW w:w="1446" w:type="dxa"/>
            <w:vAlign w:val="center"/>
          </w:tcPr>
          <w:p w14:paraId="3270D7D4" w14:textId="56D42E2D"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346,659,310</w:t>
            </w:r>
          </w:p>
        </w:tc>
        <w:tc>
          <w:tcPr>
            <w:tcW w:w="1276" w:type="dxa"/>
            <w:vAlign w:val="center"/>
          </w:tcPr>
          <w:p w14:paraId="2E14B8E2" w14:textId="24FC529C"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5,036</w:t>
            </w:r>
          </w:p>
        </w:tc>
        <w:tc>
          <w:tcPr>
            <w:tcW w:w="1247" w:type="dxa"/>
            <w:vAlign w:val="center"/>
          </w:tcPr>
          <w:p w14:paraId="6C0579E9" w14:textId="7EF9F17A"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16,997,589</w:t>
            </w:r>
          </w:p>
        </w:tc>
      </w:tr>
      <w:tr w:rsidR="00221F1F" w:rsidRPr="006C28D8" w14:paraId="39990D8C" w14:textId="77777777" w:rsidTr="00362F3E">
        <w:trPr>
          <w:trHeight w:val="1531"/>
        </w:trPr>
        <w:tc>
          <w:tcPr>
            <w:tcW w:w="534" w:type="dxa"/>
            <w:vAlign w:val="center"/>
          </w:tcPr>
          <w:p w14:paraId="3668E23E" w14:textId="77777777" w:rsidR="00221F1F" w:rsidRPr="006C28D8" w:rsidRDefault="00221F1F" w:rsidP="00221F1F">
            <w:pPr>
              <w:jc w:val="center"/>
              <w:rPr>
                <w:rFonts w:ascii="Arial" w:hAnsi="Arial" w:cs="Arial"/>
                <w:sz w:val="20"/>
                <w:szCs w:val="20"/>
              </w:rPr>
            </w:pPr>
            <w:r>
              <w:rPr>
                <w:rFonts w:ascii="Arial" w:hAnsi="Arial" w:cs="Arial"/>
                <w:sz w:val="20"/>
                <w:szCs w:val="20"/>
              </w:rPr>
              <w:t>4.</w:t>
            </w:r>
          </w:p>
        </w:tc>
        <w:tc>
          <w:tcPr>
            <w:tcW w:w="5846" w:type="dxa"/>
            <w:vAlign w:val="center"/>
          </w:tcPr>
          <w:p w14:paraId="70BC37B1" w14:textId="04B5F40D" w:rsidR="00221F1F" w:rsidRPr="006C28D8" w:rsidRDefault="00221F1F" w:rsidP="00221F1F">
            <w:pPr>
              <w:jc w:val="both"/>
              <w:rPr>
                <w:rFonts w:ascii="Arial" w:hAnsi="Arial" w:cs="Arial"/>
                <w:sz w:val="20"/>
                <w:szCs w:val="20"/>
              </w:rPr>
            </w:pPr>
            <w:r w:rsidRPr="001E4A7B">
              <w:rPr>
                <w:rFonts w:ascii="Arial" w:hAnsi="Arial" w:cs="Arial"/>
                <w:sz w:val="20"/>
                <w:szCs w:val="20"/>
              </w:rPr>
              <w:t>Discharge and release (</w:t>
            </w:r>
            <w:proofErr w:type="spellStart"/>
            <w:r w:rsidRPr="001E4A7B">
              <w:rPr>
                <w:rFonts w:ascii="Arial" w:hAnsi="Arial" w:cs="Arial"/>
                <w:i/>
                <w:sz w:val="20"/>
                <w:szCs w:val="20"/>
              </w:rPr>
              <w:t>quitus</w:t>
            </w:r>
            <w:proofErr w:type="spellEnd"/>
            <w:r w:rsidRPr="001E4A7B">
              <w:rPr>
                <w:rFonts w:ascii="Arial" w:hAnsi="Arial" w:cs="Arial"/>
                <w:sz w:val="20"/>
                <w:szCs w:val="20"/>
              </w:rPr>
              <w:t>) to the current members of the Management Board</w:t>
            </w:r>
            <w:r>
              <w:rPr>
                <w:rFonts w:ascii="Arial" w:hAnsi="Arial" w:cs="Arial"/>
                <w:sz w:val="20"/>
                <w:szCs w:val="20"/>
              </w:rPr>
              <w:t xml:space="preserve"> and</w:t>
            </w:r>
            <w:r w:rsidRPr="001E4A7B">
              <w:rPr>
                <w:rFonts w:ascii="Arial" w:hAnsi="Arial" w:cs="Arial"/>
                <w:sz w:val="20"/>
                <w:szCs w:val="20"/>
              </w:rPr>
              <w:t xml:space="preserve"> to Frank Schramm, who resigned as a member of the Management Board and co-Chief Executive Officer of the Company with effect from 31 January 2024, for all their duties during, and in connection with, the financial year having started on 1 January 202</w:t>
            </w:r>
            <w:r>
              <w:rPr>
                <w:rFonts w:ascii="Arial" w:hAnsi="Arial" w:cs="Arial"/>
                <w:sz w:val="20"/>
                <w:szCs w:val="20"/>
              </w:rPr>
              <w:t>4</w:t>
            </w:r>
            <w:r w:rsidRPr="001E4A7B">
              <w:rPr>
                <w:rFonts w:ascii="Arial" w:hAnsi="Arial" w:cs="Arial"/>
                <w:sz w:val="20"/>
                <w:szCs w:val="20"/>
              </w:rPr>
              <w:t xml:space="preserve"> and having ended on 31 December 202</w:t>
            </w:r>
            <w:r>
              <w:rPr>
                <w:rFonts w:ascii="Arial" w:hAnsi="Arial" w:cs="Arial"/>
                <w:sz w:val="20"/>
                <w:szCs w:val="20"/>
              </w:rPr>
              <w:t>4</w:t>
            </w:r>
            <w:r w:rsidRPr="001E4A7B">
              <w:rPr>
                <w:rFonts w:ascii="Arial" w:hAnsi="Arial" w:cs="Arial"/>
                <w:sz w:val="20"/>
                <w:szCs w:val="20"/>
              </w:rPr>
              <w:t>.</w:t>
            </w:r>
          </w:p>
        </w:tc>
        <w:tc>
          <w:tcPr>
            <w:tcW w:w="1446" w:type="dxa"/>
            <w:vAlign w:val="center"/>
          </w:tcPr>
          <w:p w14:paraId="7FB172F7" w14:textId="536041CE"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346,623,883</w:t>
            </w:r>
          </w:p>
        </w:tc>
        <w:tc>
          <w:tcPr>
            <w:tcW w:w="1276" w:type="dxa"/>
            <w:vAlign w:val="center"/>
          </w:tcPr>
          <w:p w14:paraId="55945CB3" w14:textId="2EC966AF"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38,030</w:t>
            </w:r>
          </w:p>
        </w:tc>
        <w:tc>
          <w:tcPr>
            <w:tcW w:w="1247" w:type="dxa"/>
            <w:vAlign w:val="center"/>
          </w:tcPr>
          <w:p w14:paraId="37B51951" w14:textId="7F752229"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17,000,022</w:t>
            </w:r>
          </w:p>
        </w:tc>
      </w:tr>
      <w:tr w:rsidR="00221F1F" w:rsidRPr="006C28D8" w14:paraId="78DC04D8" w14:textId="77777777" w:rsidTr="00362F3E">
        <w:trPr>
          <w:trHeight w:val="1531"/>
        </w:trPr>
        <w:tc>
          <w:tcPr>
            <w:tcW w:w="534" w:type="dxa"/>
            <w:vAlign w:val="center"/>
          </w:tcPr>
          <w:p w14:paraId="0A19D556" w14:textId="2BF331E2" w:rsidR="00221F1F" w:rsidRDefault="00221F1F" w:rsidP="00221F1F">
            <w:pPr>
              <w:jc w:val="center"/>
              <w:rPr>
                <w:rFonts w:ascii="Arial" w:hAnsi="Arial" w:cs="Arial"/>
                <w:sz w:val="20"/>
                <w:szCs w:val="20"/>
              </w:rPr>
            </w:pPr>
            <w:r>
              <w:rPr>
                <w:rFonts w:ascii="Arial" w:hAnsi="Arial" w:cs="Arial"/>
                <w:sz w:val="20"/>
                <w:szCs w:val="20"/>
              </w:rPr>
              <w:t>5.</w:t>
            </w:r>
          </w:p>
        </w:tc>
        <w:tc>
          <w:tcPr>
            <w:tcW w:w="5846" w:type="dxa"/>
            <w:vAlign w:val="center"/>
          </w:tcPr>
          <w:p w14:paraId="1C19E776" w14:textId="4B3CDC79" w:rsidR="00221F1F" w:rsidRPr="001E4A7B" w:rsidRDefault="00221F1F" w:rsidP="00221F1F">
            <w:pPr>
              <w:jc w:val="both"/>
              <w:rPr>
                <w:rFonts w:ascii="Arial" w:hAnsi="Arial" w:cs="Arial"/>
                <w:sz w:val="20"/>
                <w:szCs w:val="20"/>
              </w:rPr>
            </w:pPr>
            <w:r w:rsidRPr="001E4A7B">
              <w:rPr>
                <w:rFonts w:ascii="Arial" w:hAnsi="Arial" w:cs="Arial"/>
                <w:sz w:val="20"/>
                <w:szCs w:val="20"/>
              </w:rPr>
              <w:t>Discharge and release (</w:t>
            </w:r>
            <w:proofErr w:type="spellStart"/>
            <w:r w:rsidRPr="001E4A7B">
              <w:rPr>
                <w:rFonts w:ascii="Arial" w:hAnsi="Arial" w:cs="Arial"/>
                <w:i/>
                <w:sz w:val="20"/>
                <w:szCs w:val="20"/>
              </w:rPr>
              <w:t>quitus</w:t>
            </w:r>
            <w:proofErr w:type="spellEnd"/>
            <w:r w:rsidRPr="001E4A7B">
              <w:rPr>
                <w:rFonts w:ascii="Arial" w:hAnsi="Arial" w:cs="Arial"/>
                <w:sz w:val="20"/>
                <w:szCs w:val="20"/>
              </w:rPr>
              <w:t>) to the current members of the Supervisory Board for all their duties during, and in connection with, the financial year having started on 1 January 202</w:t>
            </w:r>
            <w:r>
              <w:rPr>
                <w:rFonts w:ascii="Arial" w:hAnsi="Arial" w:cs="Arial"/>
                <w:sz w:val="20"/>
                <w:szCs w:val="20"/>
              </w:rPr>
              <w:t>4</w:t>
            </w:r>
            <w:r w:rsidRPr="001E4A7B">
              <w:rPr>
                <w:rFonts w:ascii="Arial" w:hAnsi="Arial" w:cs="Arial"/>
                <w:sz w:val="20"/>
                <w:szCs w:val="20"/>
              </w:rPr>
              <w:t xml:space="preserve"> and having ended on 31 December 202</w:t>
            </w:r>
            <w:r>
              <w:rPr>
                <w:rFonts w:ascii="Arial" w:hAnsi="Arial" w:cs="Arial"/>
                <w:sz w:val="20"/>
                <w:szCs w:val="20"/>
              </w:rPr>
              <w:t>4</w:t>
            </w:r>
            <w:r w:rsidRPr="001E4A7B">
              <w:rPr>
                <w:rFonts w:ascii="Arial" w:hAnsi="Arial" w:cs="Arial"/>
                <w:sz w:val="20"/>
                <w:szCs w:val="20"/>
              </w:rPr>
              <w:t>.</w:t>
            </w:r>
          </w:p>
        </w:tc>
        <w:tc>
          <w:tcPr>
            <w:tcW w:w="1446" w:type="dxa"/>
            <w:vAlign w:val="center"/>
          </w:tcPr>
          <w:p w14:paraId="28D15B95" w14:textId="7A52EFDC" w:rsidR="00221F1F" w:rsidRPr="00804334" w:rsidRDefault="00221F1F" w:rsidP="00221F1F">
            <w:pPr>
              <w:jc w:val="center"/>
              <w:rPr>
                <w:rFonts w:ascii="Arial" w:hAnsi="Arial" w:cs="Arial"/>
                <w:color w:val="000000"/>
                <w:sz w:val="20"/>
                <w:szCs w:val="20"/>
              </w:rPr>
            </w:pPr>
            <w:r>
              <w:rPr>
                <w:rFonts w:ascii="Arial" w:hAnsi="Arial" w:cs="Arial"/>
                <w:color w:val="000000"/>
                <w:sz w:val="20"/>
                <w:szCs w:val="20"/>
              </w:rPr>
              <w:t>346,621,034</w:t>
            </w:r>
          </w:p>
        </w:tc>
        <w:tc>
          <w:tcPr>
            <w:tcW w:w="1276" w:type="dxa"/>
            <w:vAlign w:val="center"/>
          </w:tcPr>
          <w:p w14:paraId="02B32213" w14:textId="0F9FEDB5" w:rsidR="00221F1F" w:rsidRDefault="00221F1F" w:rsidP="00221F1F">
            <w:pPr>
              <w:jc w:val="center"/>
              <w:rPr>
                <w:rFonts w:ascii="Arial" w:hAnsi="Arial" w:cs="Arial"/>
                <w:color w:val="000000"/>
                <w:sz w:val="20"/>
                <w:szCs w:val="20"/>
              </w:rPr>
            </w:pPr>
            <w:r>
              <w:rPr>
                <w:rFonts w:ascii="Arial" w:hAnsi="Arial" w:cs="Arial"/>
                <w:color w:val="000000"/>
                <w:sz w:val="20"/>
                <w:szCs w:val="20"/>
              </w:rPr>
              <w:t>40,954</w:t>
            </w:r>
          </w:p>
        </w:tc>
        <w:tc>
          <w:tcPr>
            <w:tcW w:w="1247" w:type="dxa"/>
            <w:vAlign w:val="center"/>
          </w:tcPr>
          <w:p w14:paraId="2D2ED632" w14:textId="1ACDC711" w:rsidR="00221F1F" w:rsidRDefault="00221F1F" w:rsidP="00221F1F">
            <w:pPr>
              <w:jc w:val="center"/>
              <w:rPr>
                <w:rFonts w:ascii="Arial" w:hAnsi="Arial" w:cs="Arial"/>
                <w:color w:val="000000"/>
                <w:sz w:val="20"/>
                <w:szCs w:val="20"/>
              </w:rPr>
            </w:pPr>
            <w:r>
              <w:rPr>
                <w:rFonts w:ascii="Arial" w:hAnsi="Arial" w:cs="Arial"/>
                <w:color w:val="000000"/>
                <w:sz w:val="20"/>
                <w:szCs w:val="20"/>
              </w:rPr>
              <w:t>16,999,947</w:t>
            </w:r>
          </w:p>
        </w:tc>
      </w:tr>
      <w:tr w:rsidR="00221F1F" w:rsidRPr="006C28D8" w14:paraId="03079562" w14:textId="77777777" w:rsidTr="00362F3E">
        <w:trPr>
          <w:trHeight w:val="1531"/>
        </w:trPr>
        <w:tc>
          <w:tcPr>
            <w:tcW w:w="534" w:type="dxa"/>
            <w:vAlign w:val="center"/>
          </w:tcPr>
          <w:p w14:paraId="2E9F288F" w14:textId="7296B0F2" w:rsidR="00221F1F" w:rsidRDefault="00221F1F" w:rsidP="00221F1F">
            <w:pPr>
              <w:jc w:val="center"/>
              <w:rPr>
                <w:rFonts w:ascii="Arial" w:hAnsi="Arial" w:cs="Arial"/>
                <w:sz w:val="20"/>
                <w:szCs w:val="20"/>
              </w:rPr>
            </w:pPr>
            <w:r>
              <w:rPr>
                <w:rFonts w:ascii="Arial" w:hAnsi="Arial" w:cs="Arial"/>
                <w:sz w:val="20"/>
                <w:szCs w:val="20"/>
              </w:rPr>
              <w:t>6.</w:t>
            </w:r>
          </w:p>
        </w:tc>
        <w:tc>
          <w:tcPr>
            <w:tcW w:w="5846" w:type="dxa"/>
            <w:vAlign w:val="center"/>
          </w:tcPr>
          <w:p w14:paraId="2AE3BB42" w14:textId="38ED3E75" w:rsidR="00221F1F" w:rsidRPr="001E4A7B" w:rsidRDefault="00221F1F" w:rsidP="00221F1F">
            <w:pPr>
              <w:jc w:val="both"/>
              <w:rPr>
                <w:rFonts w:ascii="Arial" w:hAnsi="Arial" w:cs="Arial"/>
                <w:sz w:val="20"/>
                <w:szCs w:val="20"/>
              </w:rPr>
            </w:pPr>
            <w:r w:rsidRPr="001E4A7B">
              <w:rPr>
                <w:rFonts w:ascii="Arial" w:hAnsi="Arial" w:cs="Arial"/>
                <w:sz w:val="20"/>
                <w:szCs w:val="20"/>
              </w:rPr>
              <w:t>Discharge and release (</w:t>
            </w:r>
            <w:proofErr w:type="spellStart"/>
            <w:r w:rsidRPr="001E4A7B">
              <w:rPr>
                <w:rFonts w:ascii="Arial" w:hAnsi="Arial" w:cs="Arial"/>
                <w:i/>
                <w:sz w:val="20"/>
                <w:szCs w:val="20"/>
              </w:rPr>
              <w:t>quitus</w:t>
            </w:r>
            <w:proofErr w:type="spellEnd"/>
            <w:r w:rsidRPr="001E4A7B">
              <w:rPr>
                <w:rFonts w:ascii="Arial" w:hAnsi="Arial" w:cs="Arial"/>
                <w:sz w:val="20"/>
                <w:szCs w:val="20"/>
              </w:rPr>
              <w:t xml:space="preserve">) to the </w:t>
            </w:r>
            <w:r>
              <w:rPr>
                <w:rFonts w:ascii="Arial" w:hAnsi="Arial" w:cs="Arial"/>
                <w:sz w:val="20"/>
                <w:szCs w:val="20"/>
              </w:rPr>
              <w:t>independent</w:t>
            </w:r>
            <w:r w:rsidRPr="001E4A7B">
              <w:rPr>
                <w:rFonts w:ascii="Arial" w:hAnsi="Arial" w:cs="Arial"/>
                <w:sz w:val="20"/>
                <w:szCs w:val="20"/>
              </w:rPr>
              <w:t xml:space="preserve"> auditor</w:t>
            </w:r>
            <w:r>
              <w:rPr>
                <w:rFonts w:ascii="Arial" w:hAnsi="Arial" w:cs="Arial"/>
                <w:sz w:val="20"/>
                <w:szCs w:val="20"/>
              </w:rPr>
              <w:t xml:space="preserve"> of the Company, the performance of </w:t>
            </w:r>
            <w:r w:rsidRPr="001E4A7B">
              <w:rPr>
                <w:rFonts w:ascii="Arial" w:hAnsi="Arial" w:cs="Arial"/>
                <w:sz w:val="20"/>
                <w:szCs w:val="20"/>
              </w:rPr>
              <w:t>their duties during, and in connection with, the financial year having started on 1 January 202</w:t>
            </w:r>
            <w:r>
              <w:rPr>
                <w:rFonts w:ascii="Arial" w:hAnsi="Arial" w:cs="Arial"/>
                <w:sz w:val="20"/>
                <w:szCs w:val="20"/>
              </w:rPr>
              <w:t>4</w:t>
            </w:r>
            <w:r w:rsidRPr="001E4A7B">
              <w:rPr>
                <w:rFonts w:ascii="Arial" w:hAnsi="Arial" w:cs="Arial"/>
                <w:sz w:val="20"/>
                <w:szCs w:val="20"/>
              </w:rPr>
              <w:t xml:space="preserve"> and having ended on 31 December 202</w:t>
            </w:r>
            <w:r>
              <w:rPr>
                <w:rFonts w:ascii="Arial" w:hAnsi="Arial" w:cs="Arial"/>
                <w:sz w:val="20"/>
                <w:szCs w:val="20"/>
              </w:rPr>
              <w:t>4</w:t>
            </w:r>
            <w:r w:rsidRPr="001E4A7B">
              <w:rPr>
                <w:rFonts w:ascii="Arial" w:hAnsi="Arial" w:cs="Arial"/>
                <w:sz w:val="20"/>
                <w:szCs w:val="20"/>
              </w:rPr>
              <w:t>.</w:t>
            </w:r>
          </w:p>
        </w:tc>
        <w:tc>
          <w:tcPr>
            <w:tcW w:w="1446" w:type="dxa"/>
            <w:vAlign w:val="center"/>
          </w:tcPr>
          <w:p w14:paraId="7D93AD7D" w14:textId="5AC8C068" w:rsidR="00221F1F" w:rsidRPr="00804334" w:rsidRDefault="00221F1F" w:rsidP="00221F1F">
            <w:pPr>
              <w:jc w:val="center"/>
              <w:rPr>
                <w:rFonts w:ascii="Arial" w:hAnsi="Arial" w:cs="Arial"/>
                <w:color w:val="000000"/>
                <w:sz w:val="20"/>
                <w:szCs w:val="20"/>
              </w:rPr>
            </w:pPr>
            <w:r>
              <w:rPr>
                <w:rFonts w:ascii="Arial" w:hAnsi="Arial" w:cs="Arial"/>
                <w:color w:val="000000"/>
                <w:sz w:val="20"/>
                <w:szCs w:val="20"/>
              </w:rPr>
              <w:t>336,168,955</w:t>
            </w:r>
          </w:p>
        </w:tc>
        <w:tc>
          <w:tcPr>
            <w:tcW w:w="1276" w:type="dxa"/>
            <w:vAlign w:val="center"/>
          </w:tcPr>
          <w:p w14:paraId="25737E70" w14:textId="056F00D7" w:rsidR="00221F1F" w:rsidRDefault="00221F1F" w:rsidP="00221F1F">
            <w:pPr>
              <w:jc w:val="center"/>
              <w:rPr>
                <w:rFonts w:ascii="Arial" w:hAnsi="Arial" w:cs="Arial"/>
                <w:color w:val="000000"/>
                <w:sz w:val="20"/>
                <w:szCs w:val="20"/>
              </w:rPr>
            </w:pPr>
            <w:r>
              <w:rPr>
                <w:rFonts w:ascii="Arial" w:hAnsi="Arial" w:cs="Arial"/>
                <w:color w:val="000000"/>
                <w:sz w:val="20"/>
                <w:szCs w:val="20"/>
              </w:rPr>
              <w:t>10,494,247</w:t>
            </w:r>
          </w:p>
        </w:tc>
        <w:tc>
          <w:tcPr>
            <w:tcW w:w="1247" w:type="dxa"/>
            <w:vAlign w:val="center"/>
          </w:tcPr>
          <w:p w14:paraId="5AC64310" w14:textId="635A91B1" w:rsidR="00221F1F" w:rsidRDefault="00221F1F" w:rsidP="00221F1F">
            <w:pPr>
              <w:jc w:val="center"/>
              <w:rPr>
                <w:rFonts w:ascii="Arial" w:hAnsi="Arial" w:cs="Arial"/>
                <w:color w:val="000000"/>
                <w:sz w:val="20"/>
                <w:szCs w:val="20"/>
              </w:rPr>
            </w:pPr>
            <w:r>
              <w:rPr>
                <w:rFonts w:ascii="Arial" w:hAnsi="Arial" w:cs="Arial"/>
                <w:color w:val="000000"/>
                <w:sz w:val="20"/>
                <w:szCs w:val="20"/>
              </w:rPr>
              <w:t>16,998,733</w:t>
            </w:r>
          </w:p>
        </w:tc>
      </w:tr>
      <w:tr w:rsidR="00221F1F" w:rsidRPr="006C28D8" w14:paraId="0DD5C729" w14:textId="77777777" w:rsidTr="00362F3E">
        <w:trPr>
          <w:trHeight w:val="624"/>
        </w:trPr>
        <w:tc>
          <w:tcPr>
            <w:tcW w:w="534" w:type="dxa"/>
            <w:vAlign w:val="center"/>
          </w:tcPr>
          <w:p w14:paraId="3FA97486" w14:textId="4BAC6FE3" w:rsidR="00221F1F" w:rsidRPr="006C28D8" w:rsidRDefault="00221F1F" w:rsidP="00221F1F">
            <w:pPr>
              <w:jc w:val="center"/>
              <w:rPr>
                <w:rFonts w:ascii="Arial" w:hAnsi="Arial" w:cs="Arial"/>
                <w:sz w:val="20"/>
                <w:szCs w:val="20"/>
              </w:rPr>
            </w:pPr>
            <w:r>
              <w:rPr>
                <w:rFonts w:ascii="Arial" w:hAnsi="Arial" w:cs="Arial"/>
                <w:sz w:val="20"/>
                <w:szCs w:val="20"/>
              </w:rPr>
              <w:t>7.</w:t>
            </w:r>
          </w:p>
        </w:tc>
        <w:tc>
          <w:tcPr>
            <w:tcW w:w="5846" w:type="dxa"/>
            <w:vAlign w:val="center"/>
          </w:tcPr>
          <w:p w14:paraId="62E80927" w14:textId="77777777"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Re-appointment of </w:t>
            </w:r>
            <w:r>
              <w:rPr>
                <w:rFonts w:ascii="Arial" w:hAnsi="Arial" w:cs="Arial"/>
                <w:sz w:val="20"/>
                <w:szCs w:val="20"/>
              </w:rPr>
              <w:t xml:space="preserve">Sarah Whitney </w:t>
            </w:r>
            <w:r w:rsidRPr="006C28D8">
              <w:rPr>
                <w:rFonts w:ascii="Arial" w:hAnsi="Arial" w:cs="Arial"/>
                <w:sz w:val="20"/>
                <w:szCs w:val="20"/>
              </w:rPr>
              <w:t>as a member of the Supervisory Board</w:t>
            </w:r>
          </w:p>
        </w:tc>
        <w:tc>
          <w:tcPr>
            <w:tcW w:w="1446" w:type="dxa"/>
            <w:vAlign w:val="center"/>
          </w:tcPr>
          <w:p w14:paraId="7AB3FA27" w14:textId="314D2E02"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346,626,028</w:t>
            </w:r>
          </w:p>
        </w:tc>
        <w:tc>
          <w:tcPr>
            <w:tcW w:w="1276" w:type="dxa"/>
            <w:vAlign w:val="center"/>
          </w:tcPr>
          <w:p w14:paraId="659093F7" w14:textId="78EAD4B2"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21,932</w:t>
            </w:r>
          </w:p>
        </w:tc>
        <w:tc>
          <w:tcPr>
            <w:tcW w:w="1247" w:type="dxa"/>
            <w:vAlign w:val="center"/>
          </w:tcPr>
          <w:p w14:paraId="768956D9" w14:textId="63EEA5ED"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17,013,975</w:t>
            </w:r>
          </w:p>
        </w:tc>
      </w:tr>
      <w:tr w:rsidR="00221F1F" w:rsidRPr="006C28D8" w14:paraId="3619326F" w14:textId="77777777" w:rsidTr="00362F3E">
        <w:trPr>
          <w:trHeight w:val="624"/>
        </w:trPr>
        <w:tc>
          <w:tcPr>
            <w:tcW w:w="534" w:type="dxa"/>
            <w:vAlign w:val="center"/>
          </w:tcPr>
          <w:p w14:paraId="5D461AFA" w14:textId="55605947" w:rsidR="00221F1F" w:rsidRPr="006C28D8" w:rsidRDefault="00221F1F" w:rsidP="00221F1F">
            <w:pPr>
              <w:jc w:val="center"/>
              <w:rPr>
                <w:rFonts w:ascii="Arial" w:hAnsi="Arial" w:cs="Arial"/>
                <w:sz w:val="20"/>
                <w:szCs w:val="20"/>
              </w:rPr>
            </w:pPr>
            <w:r>
              <w:rPr>
                <w:rFonts w:ascii="Arial" w:hAnsi="Arial" w:cs="Arial"/>
                <w:sz w:val="20"/>
                <w:szCs w:val="20"/>
              </w:rPr>
              <w:t>8.</w:t>
            </w:r>
          </w:p>
        </w:tc>
        <w:tc>
          <w:tcPr>
            <w:tcW w:w="5846" w:type="dxa"/>
            <w:vAlign w:val="center"/>
          </w:tcPr>
          <w:p w14:paraId="6585D3AB" w14:textId="77777777"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Re-appointment of </w:t>
            </w:r>
            <w:r>
              <w:rPr>
                <w:rFonts w:ascii="Arial" w:hAnsi="Arial" w:cs="Arial"/>
                <w:sz w:val="20"/>
                <w:szCs w:val="20"/>
              </w:rPr>
              <w:t>Jutta af Rosenborg</w:t>
            </w:r>
            <w:r w:rsidRPr="006C28D8">
              <w:rPr>
                <w:rFonts w:ascii="Arial" w:hAnsi="Arial" w:cs="Arial"/>
                <w:sz w:val="20"/>
                <w:szCs w:val="20"/>
              </w:rPr>
              <w:t xml:space="preserve"> as a member of the Supervisory Board</w:t>
            </w:r>
          </w:p>
        </w:tc>
        <w:tc>
          <w:tcPr>
            <w:tcW w:w="1446" w:type="dxa"/>
            <w:vAlign w:val="center"/>
          </w:tcPr>
          <w:p w14:paraId="5A1621B5" w14:textId="6C4DCD03"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346,627,247</w:t>
            </w:r>
          </w:p>
        </w:tc>
        <w:tc>
          <w:tcPr>
            <w:tcW w:w="1276" w:type="dxa"/>
            <w:vAlign w:val="center"/>
          </w:tcPr>
          <w:p w14:paraId="1E180DC0" w14:textId="7FBECC38"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20,721</w:t>
            </w:r>
          </w:p>
        </w:tc>
        <w:tc>
          <w:tcPr>
            <w:tcW w:w="1247" w:type="dxa"/>
            <w:vAlign w:val="center"/>
          </w:tcPr>
          <w:p w14:paraId="1BD42EEE" w14:textId="55AD8258"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17,013,967</w:t>
            </w:r>
          </w:p>
        </w:tc>
      </w:tr>
      <w:tr w:rsidR="00221F1F" w:rsidRPr="006C28D8" w14:paraId="1E26798D" w14:textId="77777777" w:rsidTr="00362F3E">
        <w:trPr>
          <w:trHeight w:val="624"/>
        </w:trPr>
        <w:tc>
          <w:tcPr>
            <w:tcW w:w="534" w:type="dxa"/>
            <w:vAlign w:val="center"/>
          </w:tcPr>
          <w:p w14:paraId="7FB09B38" w14:textId="7C6E4980" w:rsidR="00221F1F" w:rsidRPr="006C28D8" w:rsidRDefault="00221F1F" w:rsidP="00221F1F">
            <w:pPr>
              <w:jc w:val="center"/>
              <w:rPr>
                <w:rFonts w:ascii="Arial" w:hAnsi="Arial" w:cs="Arial"/>
                <w:sz w:val="20"/>
                <w:szCs w:val="20"/>
              </w:rPr>
            </w:pPr>
            <w:r>
              <w:rPr>
                <w:rFonts w:ascii="Arial" w:hAnsi="Arial" w:cs="Arial"/>
                <w:sz w:val="20"/>
                <w:szCs w:val="20"/>
              </w:rPr>
              <w:t>9.</w:t>
            </w:r>
          </w:p>
        </w:tc>
        <w:tc>
          <w:tcPr>
            <w:tcW w:w="5846" w:type="dxa"/>
            <w:vAlign w:val="center"/>
          </w:tcPr>
          <w:p w14:paraId="353FBDD0" w14:textId="77777777"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Re-appointment of </w:t>
            </w:r>
            <w:r>
              <w:rPr>
                <w:rFonts w:ascii="Arial" w:hAnsi="Arial" w:cs="Arial"/>
                <w:sz w:val="20"/>
                <w:szCs w:val="20"/>
              </w:rPr>
              <w:t xml:space="preserve">Christopher Waples </w:t>
            </w:r>
            <w:r w:rsidRPr="006C28D8">
              <w:rPr>
                <w:rFonts w:ascii="Arial" w:hAnsi="Arial" w:cs="Arial"/>
                <w:sz w:val="20"/>
                <w:szCs w:val="20"/>
              </w:rPr>
              <w:t>as a member of the Supervisory Board</w:t>
            </w:r>
          </w:p>
        </w:tc>
        <w:tc>
          <w:tcPr>
            <w:tcW w:w="1446" w:type="dxa"/>
            <w:vAlign w:val="center"/>
          </w:tcPr>
          <w:p w14:paraId="6961A1D0" w14:textId="2E06A40B"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346,627,250</w:t>
            </w:r>
          </w:p>
        </w:tc>
        <w:tc>
          <w:tcPr>
            <w:tcW w:w="1276" w:type="dxa"/>
            <w:vAlign w:val="center"/>
          </w:tcPr>
          <w:p w14:paraId="61898CD1" w14:textId="4FD00D3E"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20,718</w:t>
            </w:r>
          </w:p>
        </w:tc>
        <w:tc>
          <w:tcPr>
            <w:tcW w:w="1247" w:type="dxa"/>
            <w:vAlign w:val="center"/>
          </w:tcPr>
          <w:p w14:paraId="74EC091C" w14:textId="7B98D5CB"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17,013,967</w:t>
            </w:r>
          </w:p>
        </w:tc>
      </w:tr>
      <w:tr w:rsidR="00221F1F" w:rsidRPr="006C28D8" w14:paraId="54CC7519" w14:textId="77777777" w:rsidTr="00362F3E">
        <w:trPr>
          <w:trHeight w:val="624"/>
        </w:trPr>
        <w:tc>
          <w:tcPr>
            <w:tcW w:w="534" w:type="dxa"/>
            <w:vAlign w:val="center"/>
          </w:tcPr>
          <w:p w14:paraId="4511CBCC" w14:textId="314EB785" w:rsidR="00221F1F" w:rsidRPr="006C28D8" w:rsidRDefault="00221F1F" w:rsidP="00221F1F">
            <w:pPr>
              <w:jc w:val="center"/>
              <w:rPr>
                <w:rFonts w:ascii="Arial" w:hAnsi="Arial" w:cs="Arial"/>
                <w:sz w:val="20"/>
                <w:szCs w:val="20"/>
              </w:rPr>
            </w:pPr>
            <w:r>
              <w:rPr>
                <w:rFonts w:ascii="Arial" w:hAnsi="Arial" w:cs="Arial"/>
                <w:sz w:val="20"/>
                <w:szCs w:val="20"/>
              </w:rPr>
              <w:t>10.</w:t>
            </w:r>
          </w:p>
        </w:tc>
        <w:tc>
          <w:tcPr>
            <w:tcW w:w="5846" w:type="dxa"/>
            <w:vAlign w:val="center"/>
          </w:tcPr>
          <w:p w14:paraId="56C42614" w14:textId="669370DC" w:rsidR="00221F1F" w:rsidRPr="006C28D8" w:rsidRDefault="00221F1F" w:rsidP="00221F1F">
            <w:pPr>
              <w:jc w:val="both"/>
              <w:rPr>
                <w:rFonts w:ascii="Arial" w:hAnsi="Arial" w:cs="Arial"/>
                <w:sz w:val="20"/>
                <w:szCs w:val="20"/>
              </w:rPr>
            </w:pPr>
            <w:r>
              <w:rPr>
                <w:rFonts w:ascii="Arial" w:hAnsi="Arial" w:cs="Arial"/>
                <w:sz w:val="20"/>
                <w:szCs w:val="20"/>
              </w:rPr>
              <w:t>Re-a</w:t>
            </w:r>
            <w:r w:rsidRPr="006C28D8">
              <w:rPr>
                <w:rFonts w:ascii="Arial" w:hAnsi="Arial" w:cs="Arial"/>
                <w:sz w:val="20"/>
                <w:szCs w:val="20"/>
              </w:rPr>
              <w:t xml:space="preserve">ppointment of </w:t>
            </w:r>
            <w:r>
              <w:rPr>
                <w:rFonts w:ascii="Arial" w:hAnsi="Arial" w:cs="Arial"/>
                <w:sz w:val="20"/>
                <w:szCs w:val="20"/>
              </w:rPr>
              <w:t xml:space="preserve">June Aitken </w:t>
            </w:r>
            <w:r w:rsidRPr="006C28D8">
              <w:rPr>
                <w:rFonts w:ascii="Arial" w:hAnsi="Arial" w:cs="Arial"/>
                <w:sz w:val="20"/>
                <w:szCs w:val="20"/>
              </w:rPr>
              <w:t>as a member of the Supervisory Board</w:t>
            </w:r>
            <w:r w:rsidRPr="006C28D8" w:rsidDel="00106987">
              <w:rPr>
                <w:rFonts w:ascii="Arial" w:hAnsi="Arial" w:cs="Arial"/>
                <w:sz w:val="20"/>
                <w:szCs w:val="20"/>
              </w:rPr>
              <w:t xml:space="preserve"> </w:t>
            </w:r>
          </w:p>
        </w:tc>
        <w:tc>
          <w:tcPr>
            <w:tcW w:w="1446" w:type="dxa"/>
            <w:vAlign w:val="center"/>
          </w:tcPr>
          <w:p w14:paraId="3DF5A65B" w14:textId="33E33D03"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346,626,033</w:t>
            </w:r>
          </w:p>
        </w:tc>
        <w:tc>
          <w:tcPr>
            <w:tcW w:w="1276" w:type="dxa"/>
            <w:vAlign w:val="center"/>
          </w:tcPr>
          <w:p w14:paraId="13FBC9C7" w14:textId="2FA871CF"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21,935</w:t>
            </w:r>
          </w:p>
        </w:tc>
        <w:tc>
          <w:tcPr>
            <w:tcW w:w="1247" w:type="dxa"/>
            <w:vAlign w:val="center"/>
          </w:tcPr>
          <w:p w14:paraId="3D788D2B" w14:textId="6C22E43E"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17,013,967</w:t>
            </w:r>
          </w:p>
        </w:tc>
      </w:tr>
      <w:tr w:rsidR="00221F1F" w:rsidRPr="006C28D8" w14:paraId="691BF81A" w14:textId="77777777" w:rsidTr="00362F3E">
        <w:trPr>
          <w:trHeight w:val="624"/>
        </w:trPr>
        <w:tc>
          <w:tcPr>
            <w:tcW w:w="534" w:type="dxa"/>
            <w:vAlign w:val="center"/>
          </w:tcPr>
          <w:p w14:paraId="42B52F0D" w14:textId="119B1AC2" w:rsidR="00221F1F" w:rsidRDefault="00221F1F" w:rsidP="00221F1F">
            <w:pPr>
              <w:jc w:val="center"/>
              <w:rPr>
                <w:rFonts w:ascii="Arial" w:hAnsi="Arial" w:cs="Arial"/>
                <w:sz w:val="20"/>
                <w:szCs w:val="20"/>
              </w:rPr>
            </w:pPr>
            <w:r>
              <w:rPr>
                <w:rFonts w:ascii="Arial" w:hAnsi="Arial" w:cs="Arial"/>
                <w:sz w:val="20"/>
                <w:szCs w:val="20"/>
              </w:rPr>
              <w:t>11.</w:t>
            </w:r>
          </w:p>
        </w:tc>
        <w:tc>
          <w:tcPr>
            <w:tcW w:w="5846" w:type="dxa"/>
            <w:vAlign w:val="center"/>
          </w:tcPr>
          <w:p w14:paraId="3BDADFF0" w14:textId="1BE8D5C9" w:rsidR="00221F1F" w:rsidRDefault="00221F1F" w:rsidP="00221F1F">
            <w:pPr>
              <w:jc w:val="both"/>
              <w:rPr>
                <w:rFonts w:ascii="Arial" w:hAnsi="Arial" w:cs="Arial"/>
                <w:sz w:val="20"/>
                <w:szCs w:val="20"/>
              </w:rPr>
            </w:pPr>
            <w:r>
              <w:rPr>
                <w:rFonts w:ascii="Arial" w:hAnsi="Arial" w:cs="Arial"/>
                <w:sz w:val="20"/>
                <w:szCs w:val="20"/>
              </w:rPr>
              <w:t>Re-a</w:t>
            </w:r>
            <w:r w:rsidRPr="006C28D8">
              <w:rPr>
                <w:rFonts w:ascii="Arial" w:hAnsi="Arial" w:cs="Arial"/>
                <w:sz w:val="20"/>
                <w:szCs w:val="20"/>
              </w:rPr>
              <w:t xml:space="preserve">ppointment of </w:t>
            </w:r>
            <w:r>
              <w:rPr>
                <w:rFonts w:ascii="Arial" w:hAnsi="Arial" w:cs="Arial"/>
                <w:sz w:val="20"/>
                <w:szCs w:val="20"/>
              </w:rPr>
              <w:t xml:space="preserve">Andrew Sykes </w:t>
            </w:r>
            <w:r w:rsidRPr="006C28D8">
              <w:rPr>
                <w:rFonts w:ascii="Arial" w:hAnsi="Arial" w:cs="Arial"/>
                <w:sz w:val="20"/>
                <w:szCs w:val="20"/>
              </w:rPr>
              <w:t>as a member of the Supervisory Board</w:t>
            </w:r>
            <w:r w:rsidRPr="006C28D8" w:rsidDel="00106987">
              <w:rPr>
                <w:rFonts w:ascii="Arial" w:hAnsi="Arial" w:cs="Arial"/>
                <w:sz w:val="20"/>
                <w:szCs w:val="20"/>
              </w:rPr>
              <w:t xml:space="preserve"> </w:t>
            </w:r>
          </w:p>
        </w:tc>
        <w:tc>
          <w:tcPr>
            <w:tcW w:w="1446" w:type="dxa"/>
            <w:vAlign w:val="center"/>
          </w:tcPr>
          <w:p w14:paraId="56CDC856" w14:textId="065E3E40" w:rsidR="00221F1F" w:rsidRDefault="00221F1F" w:rsidP="00221F1F">
            <w:pPr>
              <w:jc w:val="center"/>
              <w:rPr>
                <w:rFonts w:ascii="Arial" w:hAnsi="Arial" w:cs="Arial"/>
                <w:color w:val="000000"/>
                <w:sz w:val="20"/>
                <w:szCs w:val="20"/>
              </w:rPr>
            </w:pPr>
            <w:r>
              <w:rPr>
                <w:rFonts w:ascii="Arial" w:hAnsi="Arial" w:cs="Arial"/>
                <w:color w:val="000000"/>
                <w:sz w:val="20"/>
                <w:szCs w:val="20"/>
              </w:rPr>
              <w:t>338,828,512</w:t>
            </w:r>
          </w:p>
        </w:tc>
        <w:tc>
          <w:tcPr>
            <w:tcW w:w="1276" w:type="dxa"/>
            <w:vAlign w:val="center"/>
          </w:tcPr>
          <w:p w14:paraId="2F8B7664" w14:textId="6886D272" w:rsidR="00221F1F" w:rsidRDefault="00221F1F" w:rsidP="00221F1F">
            <w:pPr>
              <w:jc w:val="center"/>
              <w:rPr>
                <w:rFonts w:ascii="Arial" w:hAnsi="Arial" w:cs="Arial"/>
                <w:color w:val="000000"/>
                <w:sz w:val="20"/>
                <w:szCs w:val="20"/>
              </w:rPr>
            </w:pPr>
            <w:r>
              <w:rPr>
                <w:rFonts w:ascii="Arial" w:hAnsi="Arial" w:cs="Arial"/>
                <w:color w:val="000000"/>
                <w:sz w:val="20"/>
                <w:szCs w:val="20"/>
              </w:rPr>
              <w:t>7,819,456</w:t>
            </w:r>
          </w:p>
        </w:tc>
        <w:tc>
          <w:tcPr>
            <w:tcW w:w="1247" w:type="dxa"/>
            <w:vAlign w:val="center"/>
          </w:tcPr>
          <w:p w14:paraId="1449AA6E" w14:textId="17445E45" w:rsidR="00221F1F" w:rsidRDefault="00221F1F" w:rsidP="00221F1F">
            <w:pPr>
              <w:jc w:val="center"/>
              <w:rPr>
                <w:rFonts w:ascii="Arial" w:hAnsi="Arial" w:cs="Arial"/>
                <w:color w:val="000000"/>
                <w:sz w:val="20"/>
                <w:szCs w:val="20"/>
              </w:rPr>
            </w:pPr>
            <w:r>
              <w:rPr>
                <w:rFonts w:ascii="Arial" w:hAnsi="Arial" w:cs="Arial"/>
                <w:color w:val="000000"/>
                <w:sz w:val="20"/>
                <w:szCs w:val="20"/>
              </w:rPr>
              <w:t>17,013,967</w:t>
            </w:r>
          </w:p>
        </w:tc>
      </w:tr>
      <w:tr w:rsidR="00221F1F" w:rsidRPr="006C28D8" w14:paraId="23B80A56" w14:textId="77777777" w:rsidTr="00362F3E">
        <w:trPr>
          <w:trHeight w:val="624"/>
        </w:trPr>
        <w:tc>
          <w:tcPr>
            <w:tcW w:w="534" w:type="dxa"/>
            <w:vAlign w:val="center"/>
          </w:tcPr>
          <w:p w14:paraId="7109FBD9" w14:textId="34E14466" w:rsidR="00221F1F" w:rsidRPr="006C28D8" w:rsidRDefault="00221F1F" w:rsidP="00221F1F">
            <w:pPr>
              <w:jc w:val="center"/>
              <w:rPr>
                <w:rFonts w:ascii="Arial" w:hAnsi="Arial" w:cs="Arial"/>
                <w:sz w:val="20"/>
                <w:szCs w:val="20"/>
              </w:rPr>
            </w:pPr>
            <w:r>
              <w:rPr>
                <w:rFonts w:ascii="Arial" w:hAnsi="Arial" w:cs="Arial"/>
                <w:sz w:val="20"/>
                <w:szCs w:val="20"/>
              </w:rPr>
              <w:t>12.</w:t>
            </w:r>
          </w:p>
        </w:tc>
        <w:tc>
          <w:tcPr>
            <w:tcW w:w="5846" w:type="dxa"/>
            <w:vAlign w:val="center"/>
          </w:tcPr>
          <w:p w14:paraId="270F9E15" w14:textId="3CACA03C" w:rsidR="00221F1F" w:rsidRPr="006C28D8" w:rsidRDefault="00221F1F" w:rsidP="00221F1F">
            <w:pPr>
              <w:jc w:val="both"/>
              <w:rPr>
                <w:rFonts w:ascii="Arial" w:hAnsi="Arial" w:cs="Arial"/>
                <w:sz w:val="20"/>
                <w:szCs w:val="20"/>
              </w:rPr>
            </w:pPr>
            <w:r>
              <w:rPr>
                <w:rFonts w:ascii="Arial" w:hAnsi="Arial" w:cs="Arial"/>
                <w:sz w:val="20"/>
                <w:szCs w:val="20"/>
              </w:rPr>
              <w:t>Re-a</w:t>
            </w:r>
            <w:r w:rsidRPr="006C28D8">
              <w:rPr>
                <w:rFonts w:ascii="Arial" w:hAnsi="Arial" w:cs="Arial"/>
                <w:sz w:val="20"/>
                <w:szCs w:val="20"/>
              </w:rPr>
              <w:t xml:space="preserve">ppointment of </w:t>
            </w:r>
            <w:r>
              <w:rPr>
                <w:rFonts w:ascii="Arial" w:hAnsi="Arial" w:cs="Arial"/>
                <w:sz w:val="20"/>
                <w:szCs w:val="20"/>
              </w:rPr>
              <w:t xml:space="preserve">PricewaterhouseCoopers </w:t>
            </w:r>
            <w:r w:rsidRPr="006C28D8">
              <w:rPr>
                <w:rFonts w:ascii="Arial" w:hAnsi="Arial" w:cs="Arial"/>
                <w:sz w:val="20"/>
                <w:szCs w:val="20"/>
              </w:rPr>
              <w:t>as independent auditor of the Compan</w:t>
            </w:r>
            <w:r>
              <w:rPr>
                <w:rFonts w:ascii="Arial" w:hAnsi="Arial" w:cs="Arial"/>
                <w:sz w:val="20"/>
                <w:szCs w:val="20"/>
              </w:rPr>
              <w:t>y</w:t>
            </w:r>
          </w:p>
        </w:tc>
        <w:tc>
          <w:tcPr>
            <w:tcW w:w="1446" w:type="dxa"/>
            <w:vAlign w:val="center"/>
          </w:tcPr>
          <w:p w14:paraId="1D3054FC" w14:textId="4109D3E6"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346,615,053</w:t>
            </w:r>
          </w:p>
        </w:tc>
        <w:tc>
          <w:tcPr>
            <w:tcW w:w="1276" w:type="dxa"/>
            <w:vAlign w:val="center"/>
          </w:tcPr>
          <w:p w14:paraId="62391AB7" w14:textId="3112E60A"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67,691</w:t>
            </w:r>
          </w:p>
        </w:tc>
        <w:tc>
          <w:tcPr>
            <w:tcW w:w="1247" w:type="dxa"/>
            <w:vAlign w:val="center"/>
          </w:tcPr>
          <w:p w14:paraId="43C2D026" w14:textId="3D0FCC0C"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16,979,864</w:t>
            </w:r>
          </w:p>
        </w:tc>
      </w:tr>
      <w:tr w:rsidR="00221F1F" w:rsidRPr="006C28D8" w14:paraId="084367AF" w14:textId="77777777" w:rsidTr="00362F3E">
        <w:trPr>
          <w:trHeight w:val="1077"/>
        </w:trPr>
        <w:tc>
          <w:tcPr>
            <w:tcW w:w="534" w:type="dxa"/>
            <w:vAlign w:val="center"/>
          </w:tcPr>
          <w:p w14:paraId="6671587C" w14:textId="2213CDF7" w:rsidR="00221F1F" w:rsidRPr="006C28D8" w:rsidRDefault="00221F1F" w:rsidP="00221F1F">
            <w:pPr>
              <w:jc w:val="center"/>
              <w:rPr>
                <w:rFonts w:ascii="Arial" w:hAnsi="Arial" w:cs="Arial"/>
                <w:sz w:val="20"/>
                <w:szCs w:val="20"/>
              </w:rPr>
            </w:pPr>
            <w:r>
              <w:rPr>
                <w:rFonts w:ascii="Arial" w:hAnsi="Arial" w:cs="Arial"/>
                <w:sz w:val="20"/>
                <w:szCs w:val="20"/>
              </w:rPr>
              <w:lastRenderedPageBreak/>
              <w:t>13.</w:t>
            </w:r>
          </w:p>
        </w:tc>
        <w:tc>
          <w:tcPr>
            <w:tcW w:w="5846" w:type="dxa"/>
            <w:vAlign w:val="center"/>
          </w:tcPr>
          <w:p w14:paraId="255C85AF" w14:textId="335CC99D"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Authorisation of the Management Board to determine the remuneration of the </w:t>
            </w:r>
            <w:r>
              <w:rPr>
                <w:rFonts w:ascii="Arial" w:hAnsi="Arial" w:cs="Arial"/>
                <w:sz w:val="20"/>
                <w:szCs w:val="20"/>
              </w:rPr>
              <w:t>i</w:t>
            </w:r>
            <w:r w:rsidRPr="006C28D8">
              <w:rPr>
                <w:rFonts w:ascii="Arial" w:hAnsi="Arial" w:cs="Arial"/>
                <w:sz w:val="20"/>
                <w:szCs w:val="20"/>
              </w:rPr>
              <w:t xml:space="preserve">ndependent </w:t>
            </w:r>
            <w:r>
              <w:rPr>
                <w:rFonts w:ascii="Arial" w:hAnsi="Arial" w:cs="Arial"/>
                <w:sz w:val="20"/>
                <w:szCs w:val="20"/>
              </w:rPr>
              <w:t>a</w:t>
            </w:r>
            <w:r w:rsidRPr="006C28D8">
              <w:rPr>
                <w:rFonts w:ascii="Arial" w:hAnsi="Arial" w:cs="Arial"/>
                <w:sz w:val="20"/>
                <w:szCs w:val="20"/>
              </w:rPr>
              <w:t>uditor</w:t>
            </w:r>
          </w:p>
        </w:tc>
        <w:tc>
          <w:tcPr>
            <w:tcW w:w="1446" w:type="dxa"/>
            <w:vAlign w:val="center"/>
          </w:tcPr>
          <w:p w14:paraId="69814EFB" w14:textId="6CD13BE5"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346,648,507</w:t>
            </w:r>
          </w:p>
        </w:tc>
        <w:tc>
          <w:tcPr>
            <w:tcW w:w="1276" w:type="dxa"/>
            <w:vAlign w:val="center"/>
          </w:tcPr>
          <w:p w14:paraId="20BFED2B" w14:textId="31F39EC1"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15,546</w:t>
            </w:r>
          </w:p>
        </w:tc>
        <w:tc>
          <w:tcPr>
            <w:tcW w:w="1247" w:type="dxa"/>
            <w:vAlign w:val="center"/>
          </w:tcPr>
          <w:p w14:paraId="7DFA595E" w14:textId="6A1E0E94"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16,998,555</w:t>
            </w:r>
          </w:p>
        </w:tc>
      </w:tr>
      <w:tr w:rsidR="00221F1F" w:rsidRPr="006C28D8" w14:paraId="41376248" w14:textId="77777777" w:rsidTr="00362F3E">
        <w:trPr>
          <w:trHeight w:val="1077"/>
        </w:trPr>
        <w:tc>
          <w:tcPr>
            <w:tcW w:w="534" w:type="dxa"/>
            <w:vAlign w:val="center"/>
          </w:tcPr>
          <w:p w14:paraId="1CED53DB" w14:textId="1E223403" w:rsidR="00221F1F" w:rsidRDefault="00221F1F" w:rsidP="00221F1F">
            <w:pPr>
              <w:jc w:val="center"/>
              <w:rPr>
                <w:rFonts w:ascii="Arial" w:hAnsi="Arial" w:cs="Arial"/>
                <w:sz w:val="20"/>
                <w:szCs w:val="20"/>
              </w:rPr>
            </w:pPr>
            <w:r>
              <w:rPr>
                <w:rFonts w:ascii="Arial" w:hAnsi="Arial" w:cs="Arial"/>
                <w:sz w:val="20"/>
                <w:szCs w:val="20"/>
              </w:rPr>
              <w:t>14.</w:t>
            </w:r>
          </w:p>
        </w:tc>
        <w:tc>
          <w:tcPr>
            <w:tcW w:w="5846" w:type="dxa"/>
            <w:vAlign w:val="center"/>
          </w:tcPr>
          <w:p w14:paraId="57B6C3A3" w14:textId="18DB9442" w:rsidR="00221F1F" w:rsidRPr="006C28D8" w:rsidRDefault="00221F1F" w:rsidP="00221F1F">
            <w:pPr>
              <w:jc w:val="both"/>
              <w:rPr>
                <w:rFonts w:ascii="Arial" w:hAnsi="Arial" w:cs="Arial"/>
                <w:sz w:val="20"/>
                <w:szCs w:val="20"/>
              </w:rPr>
            </w:pPr>
            <w:r w:rsidRPr="006C28D8">
              <w:rPr>
                <w:rFonts w:ascii="Arial" w:hAnsi="Arial" w:cs="Arial"/>
                <w:sz w:val="20"/>
                <w:szCs w:val="20"/>
              </w:rPr>
              <w:t xml:space="preserve">Authorisation of the Management Board to offer shareholders the right to elect to receive further ordinary shares in respect of dividends declared for any financial period or periods of the Company ending prior to the </w:t>
            </w:r>
            <w:r w:rsidR="009B184B">
              <w:rPr>
                <w:rFonts w:ascii="Arial" w:hAnsi="Arial" w:cs="Arial"/>
                <w:sz w:val="20"/>
                <w:szCs w:val="20"/>
              </w:rPr>
              <w:t>2026</w:t>
            </w:r>
            <w:r w:rsidR="009B184B" w:rsidRPr="006C28D8">
              <w:rPr>
                <w:rFonts w:ascii="Arial" w:hAnsi="Arial" w:cs="Arial"/>
                <w:sz w:val="20"/>
                <w:szCs w:val="20"/>
              </w:rPr>
              <w:t xml:space="preserve"> </w:t>
            </w:r>
            <w:r w:rsidRPr="006C28D8">
              <w:rPr>
                <w:rFonts w:ascii="Arial" w:hAnsi="Arial" w:cs="Arial"/>
                <w:sz w:val="20"/>
                <w:szCs w:val="20"/>
              </w:rPr>
              <w:t>AGM</w:t>
            </w:r>
          </w:p>
        </w:tc>
        <w:tc>
          <w:tcPr>
            <w:tcW w:w="1446" w:type="dxa"/>
            <w:vAlign w:val="center"/>
          </w:tcPr>
          <w:p w14:paraId="197C1E35" w14:textId="3AD36292"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346,630,088</w:t>
            </w:r>
          </w:p>
        </w:tc>
        <w:tc>
          <w:tcPr>
            <w:tcW w:w="1276" w:type="dxa"/>
            <w:vAlign w:val="center"/>
          </w:tcPr>
          <w:p w14:paraId="499F9080" w14:textId="5A795686"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34,986</w:t>
            </w:r>
          </w:p>
        </w:tc>
        <w:tc>
          <w:tcPr>
            <w:tcW w:w="1247" w:type="dxa"/>
            <w:vAlign w:val="center"/>
          </w:tcPr>
          <w:p w14:paraId="09774FA7" w14:textId="7BF94A90"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16,997,534</w:t>
            </w:r>
          </w:p>
        </w:tc>
      </w:tr>
      <w:tr w:rsidR="00221F1F" w:rsidRPr="006C28D8" w14:paraId="50816639" w14:textId="77777777" w:rsidTr="00362F3E">
        <w:trPr>
          <w:trHeight w:val="1077"/>
        </w:trPr>
        <w:tc>
          <w:tcPr>
            <w:tcW w:w="534" w:type="dxa"/>
            <w:vAlign w:val="center"/>
          </w:tcPr>
          <w:p w14:paraId="2910B638" w14:textId="346D57E6" w:rsidR="00221F1F" w:rsidDel="00C238BD" w:rsidRDefault="00221F1F" w:rsidP="00221F1F">
            <w:pPr>
              <w:jc w:val="center"/>
              <w:rPr>
                <w:rFonts w:ascii="Arial" w:hAnsi="Arial" w:cs="Arial"/>
                <w:sz w:val="20"/>
                <w:szCs w:val="20"/>
              </w:rPr>
            </w:pPr>
            <w:r>
              <w:rPr>
                <w:rFonts w:ascii="Arial" w:hAnsi="Arial" w:cs="Arial"/>
                <w:sz w:val="20"/>
                <w:szCs w:val="20"/>
              </w:rPr>
              <w:t>15.</w:t>
            </w:r>
          </w:p>
        </w:tc>
        <w:tc>
          <w:tcPr>
            <w:tcW w:w="5846" w:type="dxa"/>
            <w:vAlign w:val="center"/>
          </w:tcPr>
          <w:p w14:paraId="012B4A21" w14:textId="09195811" w:rsidR="00221F1F" w:rsidRPr="006C28D8" w:rsidRDefault="00221F1F" w:rsidP="00221F1F">
            <w:pPr>
              <w:jc w:val="both"/>
              <w:rPr>
                <w:rFonts w:ascii="Arial" w:hAnsi="Arial" w:cs="Arial"/>
                <w:sz w:val="20"/>
                <w:szCs w:val="20"/>
              </w:rPr>
            </w:pPr>
            <w:r w:rsidRPr="00C238BD">
              <w:rPr>
                <w:rFonts w:ascii="Arial" w:hAnsi="Arial" w:cs="Arial"/>
                <w:sz w:val="20"/>
                <w:szCs w:val="20"/>
              </w:rPr>
              <w:t>Authorisation for the Company to continue in business as an investment company in accordance with article 29 of the Company’s Articles</w:t>
            </w:r>
          </w:p>
        </w:tc>
        <w:tc>
          <w:tcPr>
            <w:tcW w:w="1446" w:type="dxa"/>
            <w:vAlign w:val="center"/>
          </w:tcPr>
          <w:p w14:paraId="74C787E9" w14:textId="1DB5AF2D" w:rsidR="00221F1F" w:rsidRPr="00804334" w:rsidRDefault="00221F1F" w:rsidP="00221F1F">
            <w:pPr>
              <w:jc w:val="center"/>
              <w:rPr>
                <w:rFonts w:ascii="Arial" w:hAnsi="Arial" w:cs="Arial"/>
                <w:color w:val="000000"/>
                <w:sz w:val="20"/>
                <w:szCs w:val="20"/>
              </w:rPr>
            </w:pPr>
            <w:r>
              <w:rPr>
                <w:rFonts w:ascii="Arial" w:hAnsi="Arial" w:cs="Arial"/>
                <w:color w:val="000000"/>
                <w:sz w:val="20"/>
                <w:szCs w:val="20"/>
              </w:rPr>
              <w:t>346,653,972</w:t>
            </w:r>
          </w:p>
        </w:tc>
        <w:tc>
          <w:tcPr>
            <w:tcW w:w="1276" w:type="dxa"/>
            <w:vAlign w:val="center"/>
          </w:tcPr>
          <w:p w14:paraId="25B5F121" w14:textId="0F0C1DD4" w:rsidR="00221F1F" w:rsidRDefault="00221F1F" w:rsidP="00221F1F">
            <w:pPr>
              <w:jc w:val="center"/>
              <w:rPr>
                <w:rFonts w:ascii="Arial" w:hAnsi="Arial" w:cs="Arial"/>
                <w:color w:val="000000"/>
                <w:sz w:val="20"/>
                <w:szCs w:val="20"/>
              </w:rPr>
            </w:pPr>
            <w:r>
              <w:rPr>
                <w:rFonts w:ascii="Arial" w:hAnsi="Arial" w:cs="Arial"/>
                <w:color w:val="000000"/>
                <w:sz w:val="20"/>
                <w:szCs w:val="20"/>
              </w:rPr>
              <w:t>12,041</w:t>
            </w:r>
          </w:p>
        </w:tc>
        <w:tc>
          <w:tcPr>
            <w:tcW w:w="1247" w:type="dxa"/>
            <w:vAlign w:val="center"/>
          </w:tcPr>
          <w:p w14:paraId="4FF04B31" w14:textId="22D5E773" w:rsidR="00221F1F" w:rsidRDefault="00221F1F" w:rsidP="00221F1F">
            <w:pPr>
              <w:jc w:val="center"/>
              <w:rPr>
                <w:rFonts w:ascii="Arial" w:hAnsi="Arial" w:cs="Arial"/>
                <w:color w:val="000000"/>
                <w:sz w:val="20"/>
                <w:szCs w:val="20"/>
              </w:rPr>
            </w:pPr>
            <w:r>
              <w:rPr>
                <w:rFonts w:ascii="Arial" w:hAnsi="Arial" w:cs="Arial"/>
                <w:color w:val="000000"/>
                <w:sz w:val="20"/>
                <w:szCs w:val="20"/>
              </w:rPr>
              <w:t>16,996,595</w:t>
            </w:r>
          </w:p>
        </w:tc>
      </w:tr>
      <w:tr w:rsidR="001E4A7B" w:rsidRPr="006C28D8" w14:paraId="0954F281" w14:textId="77777777" w:rsidTr="001E03EA">
        <w:trPr>
          <w:trHeight w:val="397"/>
        </w:trPr>
        <w:tc>
          <w:tcPr>
            <w:tcW w:w="6380" w:type="dxa"/>
            <w:gridSpan w:val="2"/>
            <w:vAlign w:val="center"/>
          </w:tcPr>
          <w:p w14:paraId="25471BD5" w14:textId="65F98B2F" w:rsidR="001E4A7B" w:rsidRPr="006C28D8" w:rsidRDefault="001E4A7B" w:rsidP="001E03EA">
            <w:pPr>
              <w:jc w:val="center"/>
              <w:rPr>
                <w:rFonts w:ascii="Arial" w:hAnsi="Arial" w:cs="Arial"/>
                <w:b/>
                <w:sz w:val="20"/>
                <w:szCs w:val="20"/>
                <w:lang w:val="en"/>
              </w:rPr>
            </w:pPr>
            <w:r>
              <w:rPr>
                <w:rFonts w:ascii="Arial" w:hAnsi="Arial" w:cs="Arial"/>
                <w:b/>
                <w:sz w:val="20"/>
                <w:szCs w:val="20"/>
              </w:rPr>
              <w:t>Special</w:t>
            </w:r>
            <w:r w:rsidRPr="006C28D8">
              <w:rPr>
                <w:rFonts w:ascii="Arial" w:hAnsi="Arial" w:cs="Arial"/>
                <w:b/>
                <w:sz w:val="20"/>
                <w:szCs w:val="20"/>
              </w:rPr>
              <w:t xml:space="preserve"> Resolutions</w:t>
            </w:r>
          </w:p>
        </w:tc>
        <w:tc>
          <w:tcPr>
            <w:tcW w:w="1446" w:type="dxa"/>
            <w:vAlign w:val="center"/>
          </w:tcPr>
          <w:p w14:paraId="34038EF9" w14:textId="77777777" w:rsidR="001E4A7B" w:rsidRPr="006C28D8" w:rsidRDefault="001E4A7B" w:rsidP="001E03EA">
            <w:pPr>
              <w:jc w:val="center"/>
              <w:rPr>
                <w:rFonts w:ascii="Arial" w:hAnsi="Arial" w:cs="Arial"/>
                <w:b/>
                <w:sz w:val="20"/>
                <w:szCs w:val="20"/>
                <w:lang w:val="en"/>
              </w:rPr>
            </w:pPr>
            <w:r w:rsidRPr="006C28D8">
              <w:rPr>
                <w:rFonts w:ascii="Arial" w:hAnsi="Arial" w:cs="Arial"/>
                <w:b/>
                <w:sz w:val="20"/>
                <w:szCs w:val="20"/>
                <w:lang w:val="en"/>
              </w:rPr>
              <w:t>For</w:t>
            </w:r>
          </w:p>
        </w:tc>
        <w:tc>
          <w:tcPr>
            <w:tcW w:w="1276" w:type="dxa"/>
            <w:vAlign w:val="center"/>
          </w:tcPr>
          <w:p w14:paraId="0790C312" w14:textId="77777777" w:rsidR="001E4A7B" w:rsidRPr="006C28D8" w:rsidRDefault="001E4A7B" w:rsidP="001E03EA">
            <w:pPr>
              <w:jc w:val="center"/>
              <w:rPr>
                <w:rFonts w:ascii="Arial" w:hAnsi="Arial" w:cs="Arial"/>
                <w:b/>
                <w:sz w:val="20"/>
                <w:szCs w:val="20"/>
                <w:lang w:val="en"/>
              </w:rPr>
            </w:pPr>
            <w:r w:rsidRPr="006C28D8">
              <w:rPr>
                <w:rFonts w:ascii="Arial" w:hAnsi="Arial" w:cs="Arial"/>
                <w:b/>
                <w:sz w:val="20"/>
                <w:szCs w:val="20"/>
                <w:lang w:val="en"/>
              </w:rPr>
              <w:t>Against</w:t>
            </w:r>
          </w:p>
        </w:tc>
        <w:tc>
          <w:tcPr>
            <w:tcW w:w="1247" w:type="dxa"/>
            <w:vAlign w:val="center"/>
          </w:tcPr>
          <w:p w14:paraId="5798507F" w14:textId="77777777" w:rsidR="001E4A7B" w:rsidRPr="006C28D8" w:rsidRDefault="001E4A7B" w:rsidP="001E03EA">
            <w:pPr>
              <w:jc w:val="center"/>
              <w:rPr>
                <w:rFonts w:ascii="Arial" w:hAnsi="Arial" w:cs="Arial"/>
                <w:b/>
                <w:sz w:val="20"/>
                <w:szCs w:val="20"/>
                <w:lang w:val="en"/>
              </w:rPr>
            </w:pPr>
            <w:r w:rsidRPr="006C28D8">
              <w:rPr>
                <w:rFonts w:ascii="Arial" w:hAnsi="Arial" w:cs="Arial"/>
                <w:b/>
                <w:sz w:val="20"/>
                <w:szCs w:val="20"/>
                <w:lang w:val="en"/>
              </w:rPr>
              <w:t>Withheld</w:t>
            </w:r>
            <w:r>
              <w:rPr>
                <w:rFonts w:ascii="Arial" w:hAnsi="Arial" w:cs="Arial"/>
                <w:b/>
                <w:sz w:val="20"/>
                <w:szCs w:val="20"/>
                <w:lang w:val="en"/>
              </w:rPr>
              <w:t xml:space="preserve"> </w:t>
            </w:r>
            <w:r w:rsidRPr="006C28D8">
              <w:rPr>
                <w:rFonts w:ascii="Arial" w:hAnsi="Arial" w:cs="Arial"/>
                <w:b/>
                <w:sz w:val="20"/>
                <w:szCs w:val="20"/>
                <w:lang w:val="en"/>
              </w:rPr>
              <w:t>*</w:t>
            </w:r>
          </w:p>
        </w:tc>
      </w:tr>
      <w:tr w:rsidR="00221F1F" w:rsidRPr="006C28D8" w14:paraId="662D0ABD" w14:textId="77777777" w:rsidTr="001E03EA">
        <w:trPr>
          <w:trHeight w:val="850"/>
        </w:trPr>
        <w:tc>
          <w:tcPr>
            <w:tcW w:w="534" w:type="dxa"/>
            <w:vAlign w:val="center"/>
          </w:tcPr>
          <w:p w14:paraId="1AE7F497" w14:textId="25AE6821" w:rsidR="00221F1F" w:rsidRPr="006C28D8" w:rsidRDefault="00221F1F" w:rsidP="00221F1F">
            <w:pPr>
              <w:jc w:val="center"/>
              <w:rPr>
                <w:rFonts w:ascii="Arial" w:hAnsi="Arial" w:cs="Arial"/>
                <w:sz w:val="20"/>
                <w:szCs w:val="20"/>
              </w:rPr>
            </w:pPr>
            <w:r>
              <w:rPr>
                <w:rFonts w:ascii="Arial" w:hAnsi="Arial" w:cs="Arial"/>
                <w:sz w:val="20"/>
                <w:szCs w:val="20"/>
              </w:rPr>
              <w:t>16.</w:t>
            </w:r>
          </w:p>
        </w:tc>
        <w:tc>
          <w:tcPr>
            <w:tcW w:w="5846" w:type="dxa"/>
            <w:vAlign w:val="center"/>
          </w:tcPr>
          <w:p w14:paraId="4F9F0166" w14:textId="0DD855BE" w:rsidR="00221F1F" w:rsidRPr="006C28D8" w:rsidRDefault="00221F1F" w:rsidP="00221F1F">
            <w:pPr>
              <w:jc w:val="both"/>
              <w:rPr>
                <w:rFonts w:ascii="Arial" w:hAnsi="Arial" w:cs="Arial"/>
                <w:sz w:val="20"/>
                <w:szCs w:val="20"/>
                <w:lang w:val="en"/>
              </w:rPr>
            </w:pPr>
            <w:r>
              <w:rPr>
                <w:rFonts w:ascii="Arial" w:hAnsi="Arial" w:cs="Arial"/>
                <w:color w:val="000000"/>
                <w:sz w:val="20"/>
                <w:szCs w:val="20"/>
              </w:rPr>
              <w:t>Authorisation of the Company to make market purchases of its own shares</w:t>
            </w:r>
          </w:p>
        </w:tc>
        <w:tc>
          <w:tcPr>
            <w:tcW w:w="1446" w:type="dxa"/>
            <w:vAlign w:val="center"/>
          </w:tcPr>
          <w:p w14:paraId="220576E8" w14:textId="2EDD9088"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346,491,064</w:t>
            </w:r>
          </w:p>
        </w:tc>
        <w:tc>
          <w:tcPr>
            <w:tcW w:w="1276" w:type="dxa"/>
            <w:vAlign w:val="center"/>
          </w:tcPr>
          <w:p w14:paraId="46AF5562" w14:textId="04FE8362"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174,904</w:t>
            </w:r>
          </w:p>
        </w:tc>
        <w:tc>
          <w:tcPr>
            <w:tcW w:w="1247" w:type="dxa"/>
            <w:vAlign w:val="center"/>
          </w:tcPr>
          <w:p w14:paraId="4F6B65CB" w14:textId="3302EF24"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16,996,640</w:t>
            </w:r>
          </w:p>
        </w:tc>
      </w:tr>
      <w:tr w:rsidR="00221F1F" w:rsidRPr="006C28D8" w14:paraId="73D31973" w14:textId="77777777" w:rsidTr="001E03EA">
        <w:trPr>
          <w:trHeight w:val="850"/>
        </w:trPr>
        <w:tc>
          <w:tcPr>
            <w:tcW w:w="534" w:type="dxa"/>
            <w:vAlign w:val="center"/>
          </w:tcPr>
          <w:p w14:paraId="5CCEAD6A" w14:textId="129CF5D2" w:rsidR="00221F1F" w:rsidRDefault="00221F1F" w:rsidP="00221F1F">
            <w:pPr>
              <w:jc w:val="center"/>
              <w:rPr>
                <w:rFonts w:ascii="Arial" w:hAnsi="Arial" w:cs="Arial"/>
                <w:sz w:val="20"/>
                <w:szCs w:val="20"/>
              </w:rPr>
            </w:pPr>
            <w:r>
              <w:rPr>
                <w:rFonts w:ascii="Arial" w:hAnsi="Arial" w:cs="Arial"/>
                <w:sz w:val="20"/>
                <w:szCs w:val="20"/>
              </w:rPr>
              <w:t>17.</w:t>
            </w:r>
          </w:p>
        </w:tc>
        <w:tc>
          <w:tcPr>
            <w:tcW w:w="5846" w:type="dxa"/>
            <w:vAlign w:val="center"/>
          </w:tcPr>
          <w:p w14:paraId="7FDFB09E" w14:textId="5B82880A" w:rsidR="00221F1F" w:rsidRPr="006C28D8" w:rsidRDefault="00221F1F" w:rsidP="00221F1F">
            <w:pPr>
              <w:jc w:val="both"/>
              <w:rPr>
                <w:rFonts w:ascii="Arial" w:hAnsi="Arial" w:cs="Arial"/>
                <w:sz w:val="20"/>
                <w:szCs w:val="20"/>
              </w:rPr>
            </w:pPr>
            <w:r>
              <w:rPr>
                <w:rFonts w:ascii="Arial" w:hAnsi="Arial" w:cs="Arial"/>
                <w:color w:val="000000"/>
                <w:sz w:val="20"/>
                <w:szCs w:val="20"/>
              </w:rPr>
              <w:t>Authorisation of the Management Board to allot up to the aggregate number of shares representing less than 10% of the shares in the Company already admitted to trading on the London Stock Exchange</w:t>
            </w:r>
          </w:p>
        </w:tc>
        <w:tc>
          <w:tcPr>
            <w:tcW w:w="1446" w:type="dxa"/>
            <w:vAlign w:val="center"/>
          </w:tcPr>
          <w:p w14:paraId="438799EE" w14:textId="2A8F468B"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346,607,407</w:t>
            </w:r>
          </w:p>
        </w:tc>
        <w:tc>
          <w:tcPr>
            <w:tcW w:w="1276" w:type="dxa"/>
            <w:vAlign w:val="center"/>
          </w:tcPr>
          <w:p w14:paraId="4429151B" w14:textId="55920063" w:rsidR="00221F1F" w:rsidRDefault="00221F1F" w:rsidP="00221F1F">
            <w:pPr>
              <w:jc w:val="center"/>
              <w:rPr>
                <w:rFonts w:ascii="Arial" w:hAnsi="Arial" w:cs="Arial"/>
                <w:color w:val="000000"/>
                <w:sz w:val="20"/>
                <w:szCs w:val="20"/>
              </w:rPr>
            </w:pPr>
            <w:r>
              <w:rPr>
                <w:rFonts w:ascii="Arial" w:hAnsi="Arial" w:cs="Arial"/>
                <w:color w:val="000000"/>
                <w:sz w:val="20"/>
                <w:szCs w:val="20"/>
              </w:rPr>
              <w:t>82,646</w:t>
            </w:r>
          </w:p>
        </w:tc>
        <w:tc>
          <w:tcPr>
            <w:tcW w:w="1247" w:type="dxa"/>
            <w:vAlign w:val="center"/>
          </w:tcPr>
          <w:p w14:paraId="771B77E2" w14:textId="5D25B127" w:rsidR="00221F1F" w:rsidRDefault="00221F1F" w:rsidP="00221F1F">
            <w:pPr>
              <w:jc w:val="center"/>
              <w:rPr>
                <w:rFonts w:ascii="Arial" w:hAnsi="Arial" w:cs="Arial"/>
                <w:color w:val="000000"/>
                <w:sz w:val="20"/>
                <w:szCs w:val="20"/>
              </w:rPr>
            </w:pPr>
            <w:r>
              <w:rPr>
                <w:rFonts w:ascii="Arial" w:hAnsi="Arial" w:cs="Arial"/>
                <w:color w:val="000000"/>
                <w:sz w:val="20"/>
                <w:szCs w:val="20"/>
              </w:rPr>
              <w:t>16,972,555</w:t>
            </w:r>
          </w:p>
        </w:tc>
      </w:tr>
      <w:tr w:rsidR="00221F1F" w:rsidRPr="006C28D8" w14:paraId="5371BF89" w14:textId="77777777" w:rsidTr="001E03EA">
        <w:trPr>
          <w:trHeight w:val="850"/>
        </w:trPr>
        <w:tc>
          <w:tcPr>
            <w:tcW w:w="534" w:type="dxa"/>
            <w:vAlign w:val="center"/>
          </w:tcPr>
          <w:p w14:paraId="305CB314" w14:textId="0A0A012F" w:rsidR="00221F1F" w:rsidRDefault="00221F1F" w:rsidP="00221F1F">
            <w:pPr>
              <w:jc w:val="center"/>
              <w:rPr>
                <w:rFonts w:ascii="Arial" w:hAnsi="Arial" w:cs="Arial"/>
                <w:sz w:val="20"/>
                <w:szCs w:val="20"/>
              </w:rPr>
            </w:pPr>
            <w:r>
              <w:rPr>
                <w:rFonts w:ascii="Arial" w:hAnsi="Arial" w:cs="Arial"/>
                <w:sz w:val="20"/>
                <w:szCs w:val="20"/>
              </w:rPr>
              <w:t>18.</w:t>
            </w:r>
          </w:p>
        </w:tc>
        <w:tc>
          <w:tcPr>
            <w:tcW w:w="5846" w:type="dxa"/>
            <w:vAlign w:val="center"/>
          </w:tcPr>
          <w:p w14:paraId="6F4ED311" w14:textId="6FC58492" w:rsidR="00221F1F" w:rsidRPr="006C28D8" w:rsidRDefault="00221F1F" w:rsidP="00221F1F">
            <w:pPr>
              <w:jc w:val="both"/>
              <w:rPr>
                <w:rFonts w:ascii="Arial" w:hAnsi="Arial" w:cs="Arial"/>
                <w:sz w:val="20"/>
                <w:szCs w:val="20"/>
              </w:rPr>
            </w:pPr>
            <w:r w:rsidRPr="00D32216">
              <w:rPr>
                <w:rFonts w:ascii="Arial" w:hAnsi="Arial" w:cs="Arial"/>
                <w:sz w:val="20"/>
                <w:szCs w:val="20"/>
              </w:rPr>
              <w:t>Delegation of powers</w:t>
            </w:r>
          </w:p>
        </w:tc>
        <w:tc>
          <w:tcPr>
            <w:tcW w:w="1446" w:type="dxa"/>
            <w:vAlign w:val="center"/>
          </w:tcPr>
          <w:p w14:paraId="3E0413FC" w14:textId="3CDC1DA6" w:rsidR="00221F1F" w:rsidRPr="006C28D8" w:rsidRDefault="00221F1F" w:rsidP="00221F1F">
            <w:pPr>
              <w:jc w:val="center"/>
              <w:rPr>
                <w:rFonts w:ascii="Arial" w:hAnsi="Arial" w:cs="Arial"/>
                <w:sz w:val="20"/>
                <w:szCs w:val="20"/>
                <w:lang w:val="en"/>
              </w:rPr>
            </w:pPr>
            <w:r>
              <w:rPr>
                <w:rFonts w:ascii="Arial" w:hAnsi="Arial" w:cs="Arial"/>
                <w:color w:val="000000"/>
                <w:sz w:val="20"/>
                <w:szCs w:val="20"/>
              </w:rPr>
              <w:t>346,636,351</w:t>
            </w:r>
          </w:p>
        </w:tc>
        <w:tc>
          <w:tcPr>
            <w:tcW w:w="1276" w:type="dxa"/>
            <w:vAlign w:val="center"/>
          </w:tcPr>
          <w:p w14:paraId="3D7F7819" w14:textId="636A3E46" w:rsidR="00221F1F" w:rsidRDefault="00221F1F" w:rsidP="00221F1F">
            <w:pPr>
              <w:jc w:val="center"/>
              <w:rPr>
                <w:rFonts w:ascii="Arial" w:hAnsi="Arial" w:cs="Arial"/>
                <w:color w:val="000000"/>
                <w:sz w:val="20"/>
                <w:szCs w:val="20"/>
              </w:rPr>
            </w:pPr>
            <w:r>
              <w:rPr>
                <w:rFonts w:ascii="Arial" w:hAnsi="Arial" w:cs="Arial"/>
                <w:color w:val="000000"/>
                <w:sz w:val="20"/>
                <w:szCs w:val="20"/>
              </w:rPr>
              <w:t>20,957</w:t>
            </w:r>
          </w:p>
        </w:tc>
        <w:tc>
          <w:tcPr>
            <w:tcW w:w="1247" w:type="dxa"/>
            <w:vAlign w:val="center"/>
          </w:tcPr>
          <w:p w14:paraId="5E2F30D8" w14:textId="7DE3DC84" w:rsidR="00221F1F" w:rsidRDefault="00221F1F" w:rsidP="00221F1F">
            <w:pPr>
              <w:jc w:val="center"/>
              <w:rPr>
                <w:rFonts w:ascii="Arial" w:hAnsi="Arial" w:cs="Arial"/>
                <w:color w:val="000000"/>
                <w:sz w:val="20"/>
                <w:szCs w:val="20"/>
              </w:rPr>
            </w:pPr>
            <w:r>
              <w:rPr>
                <w:rFonts w:ascii="Arial" w:hAnsi="Arial" w:cs="Arial"/>
                <w:color w:val="000000"/>
                <w:sz w:val="20"/>
                <w:szCs w:val="20"/>
              </w:rPr>
              <w:t>17,004,627</w:t>
            </w:r>
          </w:p>
        </w:tc>
      </w:tr>
    </w:tbl>
    <w:p w14:paraId="686D2E00" w14:textId="77777777" w:rsidR="001169A1" w:rsidRDefault="001169A1" w:rsidP="001169A1">
      <w:pPr>
        <w:rPr>
          <w:lang w:val="en"/>
        </w:rPr>
      </w:pPr>
    </w:p>
    <w:p w14:paraId="515AC688" w14:textId="77777777" w:rsidR="001169A1" w:rsidRDefault="001169A1" w:rsidP="001169A1">
      <w:pPr>
        <w:rPr>
          <w:lang w:val="en"/>
        </w:rPr>
      </w:pPr>
    </w:p>
    <w:p w14:paraId="4B10A7C8" w14:textId="77777777" w:rsidR="001169A1" w:rsidRDefault="001169A1" w:rsidP="001169A1">
      <w:pPr>
        <w:rPr>
          <w:lang w:val="en"/>
        </w:rPr>
      </w:pPr>
    </w:p>
    <w:p w14:paraId="62018A17" w14:textId="08D41626" w:rsidR="008F17AE" w:rsidRPr="001169A1" w:rsidRDefault="008F17AE" w:rsidP="001169A1">
      <w:pPr>
        <w:ind w:left="-284"/>
      </w:pPr>
      <w:r w:rsidRPr="006C28D8">
        <w:rPr>
          <w:rFonts w:ascii="Arial" w:hAnsi="Arial" w:cs="Arial"/>
          <w:sz w:val="20"/>
          <w:szCs w:val="20"/>
          <w:lang w:val="en"/>
        </w:rPr>
        <w:t xml:space="preserve">The full text of the resolutions may be found in the Convening Notice </w:t>
      </w:r>
      <w:r w:rsidR="00924D1D" w:rsidRPr="006C28D8">
        <w:rPr>
          <w:rFonts w:ascii="Arial" w:hAnsi="Arial" w:cs="Arial"/>
          <w:sz w:val="20"/>
          <w:szCs w:val="20"/>
          <w:lang w:val="en"/>
        </w:rPr>
        <w:t>t</w:t>
      </w:r>
      <w:r w:rsidRPr="006C28D8">
        <w:rPr>
          <w:rFonts w:ascii="Arial" w:hAnsi="Arial" w:cs="Arial"/>
          <w:sz w:val="20"/>
          <w:szCs w:val="20"/>
          <w:lang w:val="en"/>
        </w:rPr>
        <w:t xml:space="preserve">o </w:t>
      </w:r>
      <w:r w:rsidR="00A17370">
        <w:rPr>
          <w:rFonts w:ascii="Arial" w:hAnsi="Arial" w:cs="Arial"/>
          <w:sz w:val="20"/>
          <w:szCs w:val="20"/>
          <w:lang w:val="en"/>
        </w:rPr>
        <w:t xml:space="preserve">Annual </w:t>
      </w:r>
      <w:r w:rsidRPr="006C28D8">
        <w:rPr>
          <w:rFonts w:ascii="Arial" w:hAnsi="Arial" w:cs="Arial"/>
          <w:sz w:val="20"/>
          <w:szCs w:val="20"/>
          <w:lang w:val="en"/>
        </w:rPr>
        <w:t xml:space="preserve">General Meeting dated </w:t>
      </w:r>
      <w:r w:rsidR="001E4A7B">
        <w:rPr>
          <w:rFonts w:ascii="Arial" w:hAnsi="Arial" w:cs="Arial"/>
          <w:sz w:val="20"/>
          <w:szCs w:val="20"/>
          <w:lang w:val="en"/>
        </w:rPr>
        <w:t>27</w:t>
      </w:r>
      <w:r w:rsidR="001E4A7B" w:rsidRPr="00A73B97">
        <w:rPr>
          <w:rFonts w:ascii="Arial" w:hAnsi="Arial" w:cs="Arial"/>
          <w:sz w:val="20"/>
          <w:szCs w:val="20"/>
          <w:lang w:val="en"/>
        </w:rPr>
        <w:t xml:space="preserve"> </w:t>
      </w:r>
      <w:r w:rsidR="00A73B97" w:rsidRPr="00A73B97">
        <w:rPr>
          <w:rFonts w:ascii="Arial" w:hAnsi="Arial" w:cs="Arial"/>
          <w:sz w:val="20"/>
          <w:szCs w:val="20"/>
          <w:lang w:val="en"/>
        </w:rPr>
        <w:t xml:space="preserve">March </w:t>
      </w:r>
      <w:r w:rsidR="00C238BD" w:rsidRPr="00A73B97">
        <w:rPr>
          <w:rFonts w:ascii="Arial" w:hAnsi="Arial" w:cs="Arial"/>
          <w:sz w:val="20"/>
          <w:szCs w:val="20"/>
          <w:lang w:val="en"/>
        </w:rPr>
        <w:t>202</w:t>
      </w:r>
      <w:r w:rsidR="00C238BD">
        <w:rPr>
          <w:rFonts w:ascii="Arial" w:hAnsi="Arial" w:cs="Arial"/>
          <w:sz w:val="20"/>
          <w:szCs w:val="20"/>
          <w:lang w:val="en"/>
        </w:rPr>
        <w:t>5</w:t>
      </w:r>
      <w:r w:rsidR="00A73B97">
        <w:rPr>
          <w:rFonts w:ascii="Arial" w:hAnsi="Arial" w:cs="Arial"/>
          <w:sz w:val="20"/>
          <w:szCs w:val="20"/>
          <w:lang w:val="en"/>
        </w:rPr>
        <w:t>,</w:t>
      </w:r>
      <w:r w:rsidRPr="006C28D8">
        <w:rPr>
          <w:rFonts w:ascii="Arial" w:hAnsi="Arial" w:cs="Arial"/>
          <w:sz w:val="20"/>
          <w:szCs w:val="20"/>
          <w:lang w:val="en"/>
        </w:rPr>
        <w:t xml:space="preserve"> copies of which are available on both the Company's website </w:t>
      </w:r>
      <w:hyperlink r:id="rId8" w:history="1">
        <w:hyperlink r:id="rId9" w:history="1">
          <w:r w:rsidRPr="00202834">
            <w:rPr>
              <w:rStyle w:val="Hyperlink"/>
              <w:rFonts w:ascii="Arial" w:hAnsi="Arial" w:cs="Arial"/>
              <w:sz w:val="20"/>
              <w:szCs w:val="20"/>
              <w:lang w:val="en"/>
            </w:rPr>
            <w:t>www.bb-gi.co</w:t>
          </w:r>
        </w:hyperlink>
        <w:r w:rsidRPr="00202834">
          <w:rPr>
            <w:rStyle w:val="Hyperlink"/>
            <w:rFonts w:ascii="Arial" w:hAnsi="Arial" w:cs="Arial"/>
            <w:sz w:val="20"/>
            <w:szCs w:val="20"/>
            <w:lang w:val="en"/>
          </w:rPr>
          <w:t>m</w:t>
        </w:r>
      </w:hyperlink>
      <w:r w:rsidR="00425475">
        <w:rPr>
          <w:rFonts w:ascii="Arial" w:hAnsi="Arial" w:cs="Arial"/>
          <w:sz w:val="20"/>
          <w:szCs w:val="20"/>
          <w:lang w:val="en"/>
        </w:rPr>
        <w:t xml:space="preserve">** </w:t>
      </w:r>
      <w:r w:rsidRPr="006C28D8">
        <w:rPr>
          <w:rFonts w:ascii="Arial" w:hAnsi="Arial" w:cs="Arial"/>
          <w:sz w:val="20"/>
          <w:szCs w:val="20"/>
          <w:lang w:val="en"/>
        </w:rPr>
        <w:t xml:space="preserve">and on the National Storage Mechanism </w:t>
      </w:r>
      <w:hyperlink r:id="rId10" w:anchor="/nsm/nationalstoragemechanism" w:history="1">
        <w:r w:rsidR="00E26576" w:rsidRPr="00FC5368">
          <w:rPr>
            <w:rStyle w:val="Hyperlink"/>
            <w:rFonts w:ascii="Arial" w:hAnsi="Arial" w:cs="Arial"/>
            <w:sz w:val="20"/>
            <w:szCs w:val="20"/>
          </w:rPr>
          <w:t>https://data.fca.org.uk/#/nsm/nationalstoragemechanism</w:t>
        </w:r>
      </w:hyperlink>
      <w:r w:rsidR="00E26576">
        <w:rPr>
          <w:rFonts w:ascii="Arial" w:hAnsi="Arial" w:cs="Arial"/>
          <w:sz w:val="20"/>
          <w:szCs w:val="20"/>
          <w:lang w:val="en"/>
        </w:rPr>
        <w:t>*</w:t>
      </w:r>
      <w:r w:rsidR="00565F7F">
        <w:rPr>
          <w:rFonts w:ascii="Arial" w:hAnsi="Arial" w:cs="Arial"/>
          <w:sz w:val="20"/>
          <w:szCs w:val="20"/>
          <w:lang w:val="en"/>
        </w:rPr>
        <w:t>*</w:t>
      </w:r>
      <w:r w:rsidR="00E26576">
        <w:rPr>
          <w:rFonts w:ascii="Arial" w:hAnsi="Arial" w:cs="Arial"/>
          <w:sz w:val="20"/>
          <w:szCs w:val="20"/>
          <w:lang w:val="en"/>
        </w:rPr>
        <w:t>.</w:t>
      </w:r>
    </w:p>
    <w:p w14:paraId="701B7BD4" w14:textId="56BC9DDA" w:rsidR="002812A5" w:rsidRDefault="008F17AE" w:rsidP="001959BA">
      <w:pPr>
        <w:ind w:left="-284" w:right="-284"/>
        <w:jc w:val="both"/>
        <w:rPr>
          <w:rFonts w:ascii="Arial" w:hAnsi="Arial" w:cs="Arial"/>
          <w:sz w:val="20"/>
          <w:szCs w:val="20"/>
          <w:lang w:val="en"/>
        </w:rPr>
      </w:pPr>
      <w:r w:rsidRPr="006C28D8">
        <w:rPr>
          <w:rFonts w:ascii="Arial" w:hAnsi="Arial" w:cs="Arial"/>
          <w:sz w:val="20"/>
          <w:szCs w:val="20"/>
          <w:lang w:val="en"/>
        </w:rPr>
        <w:br/>
        <w:t xml:space="preserve">A copy of the Special Resolutions passed at the Annual General Meeting has been submitted to the National Storage Mechanism and will shortly be available for inspection at </w:t>
      </w:r>
      <w:hyperlink r:id="rId11" w:anchor="/nsm/nationalstoragemechanism" w:history="1">
        <w:r w:rsidR="00E26576" w:rsidRPr="00FC5368">
          <w:rPr>
            <w:rStyle w:val="Hyperlink"/>
            <w:rFonts w:ascii="Arial" w:hAnsi="Arial" w:cs="Arial"/>
            <w:sz w:val="20"/>
            <w:szCs w:val="20"/>
          </w:rPr>
          <w:t>https://data.fca.org.uk/#/nsm/nationalstoragemechanism</w:t>
        </w:r>
      </w:hyperlink>
      <w:r w:rsidR="00E26576">
        <w:rPr>
          <w:rFonts w:ascii="Arial" w:hAnsi="Arial" w:cs="Arial"/>
          <w:sz w:val="20"/>
          <w:szCs w:val="20"/>
          <w:lang w:val="en"/>
        </w:rPr>
        <w:t>**.</w:t>
      </w:r>
    </w:p>
    <w:p w14:paraId="696A6E4C" w14:textId="77777777" w:rsidR="002812A5" w:rsidRDefault="002812A5" w:rsidP="001959BA">
      <w:pPr>
        <w:ind w:left="-284" w:right="-284"/>
        <w:jc w:val="both"/>
        <w:rPr>
          <w:rFonts w:ascii="Arial" w:hAnsi="Arial" w:cs="Arial"/>
          <w:sz w:val="20"/>
          <w:szCs w:val="20"/>
          <w:lang w:val="en"/>
        </w:rPr>
      </w:pPr>
    </w:p>
    <w:p w14:paraId="3316443C" w14:textId="5D574F0B" w:rsidR="008F17AE" w:rsidRPr="006C28D8" w:rsidRDefault="008F17AE" w:rsidP="001959BA">
      <w:pPr>
        <w:ind w:left="-284" w:right="-284"/>
        <w:jc w:val="both"/>
        <w:rPr>
          <w:rFonts w:ascii="Arial" w:hAnsi="Arial" w:cs="Arial"/>
          <w:sz w:val="20"/>
          <w:szCs w:val="20"/>
          <w:lang w:val="en"/>
        </w:rPr>
      </w:pPr>
      <w:r w:rsidRPr="006C28D8">
        <w:rPr>
          <w:rFonts w:ascii="Arial" w:hAnsi="Arial" w:cs="Arial"/>
          <w:sz w:val="20"/>
          <w:szCs w:val="20"/>
          <w:lang w:val="en"/>
        </w:rPr>
        <w:t xml:space="preserve">The Results will also be available shortly for viewing on the Company’s website </w:t>
      </w:r>
      <w:hyperlink r:id="rId12" w:history="1">
        <w:r w:rsidRPr="006C28D8">
          <w:rPr>
            <w:rStyle w:val="Hyperlink"/>
            <w:rFonts w:ascii="Arial" w:hAnsi="Arial" w:cs="Arial"/>
            <w:sz w:val="20"/>
            <w:szCs w:val="20"/>
            <w:lang w:val="en"/>
          </w:rPr>
          <w:t>www.bb-gi.com</w:t>
        </w:r>
      </w:hyperlink>
      <w:r w:rsidRPr="006C28D8">
        <w:rPr>
          <w:rFonts w:ascii="Arial" w:hAnsi="Arial" w:cs="Arial"/>
          <w:sz w:val="20"/>
          <w:szCs w:val="20"/>
          <w:lang w:val="en"/>
        </w:rPr>
        <w:t>**.</w:t>
      </w:r>
    </w:p>
    <w:p w14:paraId="7844777A" w14:textId="77777777" w:rsidR="008F17AE" w:rsidRPr="006C28D8" w:rsidRDefault="008F17AE" w:rsidP="001959BA">
      <w:pPr>
        <w:ind w:left="-284" w:right="-284"/>
        <w:jc w:val="both"/>
        <w:rPr>
          <w:rFonts w:ascii="Arial" w:hAnsi="Arial" w:cs="Arial"/>
          <w:sz w:val="20"/>
          <w:szCs w:val="20"/>
          <w:lang w:val="en"/>
        </w:rPr>
      </w:pPr>
    </w:p>
    <w:p w14:paraId="75A880AC" w14:textId="77777777" w:rsidR="00B4166C" w:rsidRPr="006C28D8" w:rsidRDefault="00B4166C" w:rsidP="001959BA">
      <w:pPr>
        <w:ind w:left="-284" w:right="-284"/>
        <w:jc w:val="both"/>
        <w:rPr>
          <w:rFonts w:ascii="Arial" w:hAnsi="Arial" w:cs="Arial"/>
          <w:sz w:val="20"/>
          <w:szCs w:val="20"/>
          <w:lang w:val="en"/>
        </w:rPr>
      </w:pPr>
    </w:p>
    <w:p w14:paraId="7D5DE721" w14:textId="77777777" w:rsidR="00D52006" w:rsidRPr="002E1299" w:rsidRDefault="00D52006" w:rsidP="00D52006">
      <w:pPr>
        <w:ind w:right="284"/>
        <w:jc w:val="both"/>
        <w:textAlignment w:val="baseline"/>
        <w:rPr>
          <w:rFonts w:ascii="Segoe UI" w:hAnsi="Segoe UI" w:cs="Segoe UI"/>
          <w:sz w:val="18"/>
          <w:szCs w:val="18"/>
          <w:lang w:eastAsia="fr-BE"/>
        </w:rPr>
      </w:pPr>
      <w:r w:rsidRPr="002E1299">
        <w:rPr>
          <w:rFonts w:ascii="Arial" w:hAnsi="Arial" w:cs="Arial"/>
          <w:b/>
          <w:bCs/>
          <w:color w:val="0D0D0D"/>
          <w:sz w:val="20"/>
          <w:szCs w:val="20"/>
          <w:lang w:eastAsia="fr-BE"/>
        </w:rPr>
        <w:t>FOR FURTHER INFORMATION, PLEASE CONTACT:</w:t>
      </w:r>
      <w:r w:rsidRPr="002E1299">
        <w:rPr>
          <w:rFonts w:ascii="Arial" w:hAnsi="Arial" w:cs="Arial"/>
          <w:color w:val="0D0D0D"/>
          <w:sz w:val="20"/>
          <w:szCs w:val="20"/>
          <w:lang w:eastAsia="fr-BE"/>
        </w:rPr>
        <w:t> </w:t>
      </w:r>
    </w:p>
    <w:p w14:paraId="1678C537" w14:textId="77777777" w:rsidR="00D52006" w:rsidRPr="002E1299" w:rsidRDefault="00D52006" w:rsidP="00D52006">
      <w:pPr>
        <w:ind w:right="284"/>
        <w:textAlignment w:val="baseline"/>
        <w:rPr>
          <w:rFonts w:ascii="Segoe UI" w:hAnsi="Segoe UI" w:cs="Segoe UI"/>
          <w:sz w:val="18"/>
          <w:szCs w:val="18"/>
          <w:lang w:eastAsia="fr-BE"/>
        </w:rPr>
      </w:pPr>
      <w:r w:rsidRPr="002E1299">
        <w:rPr>
          <w:rFonts w:ascii="Arial" w:hAnsi="Arial" w:cs="Arial"/>
          <w:color w:val="0D0D0D"/>
          <w:sz w:val="20"/>
          <w:szCs w:val="20"/>
          <w:lang w:eastAsia="fr-BE"/>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046"/>
      </w:tblGrid>
      <w:tr w:rsidR="00D52006" w:rsidRPr="002E1299" w14:paraId="1D9CFE91" w14:textId="77777777" w:rsidTr="00420532">
        <w:trPr>
          <w:trHeight w:val="300"/>
        </w:trPr>
        <w:tc>
          <w:tcPr>
            <w:tcW w:w="4954" w:type="dxa"/>
            <w:tcBorders>
              <w:top w:val="single" w:sz="6" w:space="0" w:color="BFBFBF"/>
              <w:left w:val="single" w:sz="6" w:space="0" w:color="BFBFBF"/>
              <w:bottom w:val="single" w:sz="6" w:space="0" w:color="BFBFBF"/>
              <w:right w:val="single" w:sz="6" w:space="0" w:color="BFBFBF"/>
            </w:tcBorders>
            <w:shd w:val="clear" w:color="auto" w:fill="auto"/>
            <w:hideMark/>
          </w:tcPr>
          <w:p w14:paraId="32329BEF" w14:textId="77777777" w:rsidR="00D52006" w:rsidRPr="002E1299" w:rsidRDefault="00D52006" w:rsidP="00420532">
            <w:pPr>
              <w:ind w:right="284"/>
              <w:jc w:val="both"/>
              <w:textAlignment w:val="baseline"/>
              <w:rPr>
                <w:lang w:eastAsia="fr-BE"/>
              </w:rPr>
            </w:pPr>
            <w:r w:rsidRPr="002E1299">
              <w:rPr>
                <w:rFonts w:ascii="Arial" w:hAnsi="Arial" w:cs="Arial"/>
                <w:b/>
                <w:bCs/>
                <w:color w:val="0D0D0D"/>
                <w:sz w:val="20"/>
                <w:szCs w:val="20"/>
                <w:lang w:eastAsia="fr-BE"/>
              </w:rPr>
              <w:t>BBGI</w:t>
            </w:r>
          </w:p>
        </w:tc>
        <w:tc>
          <w:tcPr>
            <w:tcW w:w="4046" w:type="dxa"/>
            <w:tcBorders>
              <w:top w:val="single" w:sz="6" w:space="0" w:color="BFBFBF"/>
              <w:left w:val="single" w:sz="6" w:space="0" w:color="BFBFBF"/>
              <w:bottom w:val="single" w:sz="6" w:space="0" w:color="BFBFBF"/>
              <w:right w:val="single" w:sz="6" w:space="0" w:color="BFBFBF"/>
            </w:tcBorders>
            <w:shd w:val="clear" w:color="auto" w:fill="auto"/>
            <w:hideMark/>
          </w:tcPr>
          <w:p w14:paraId="5A94E834" w14:textId="77777777" w:rsidR="00D52006" w:rsidRPr="002E1299" w:rsidRDefault="00D52006" w:rsidP="00420532">
            <w:pPr>
              <w:ind w:right="284"/>
              <w:jc w:val="both"/>
              <w:textAlignment w:val="baseline"/>
              <w:rPr>
                <w:lang w:eastAsia="fr-BE"/>
              </w:rPr>
            </w:pPr>
            <w:r w:rsidRPr="002E1299">
              <w:rPr>
                <w:rFonts w:ascii="Arial" w:hAnsi="Arial" w:cs="Arial"/>
                <w:color w:val="0D0D0D"/>
                <w:sz w:val="20"/>
                <w:szCs w:val="20"/>
                <w:lang w:eastAsia="fr-BE"/>
              </w:rPr>
              <w:t>+352 263 479-1 </w:t>
            </w:r>
          </w:p>
        </w:tc>
      </w:tr>
      <w:tr w:rsidR="00D52006" w:rsidRPr="002E1299" w14:paraId="76438382" w14:textId="77777777" w:rsidTr="00420532">
        <w:trPr>
          <w:trHeight w:val="300"/>
        </w:trPr>
        <w:tc>
          <w:tcPr>
            <w:tcW w:w="4954" w:type="dxa"/>
            <w:tcBorders>
              <w:top w:val="single" w:sz="6" w:space="0" w:color="BFBFBF"/>
              <w:left w:val="single" w:sz="6" w:space="0" w:color="BFBFBF"/>
              <w:bottom w:val="single" w:sz="6" w:space="0" w:color="BFBFBF"/>
              <w:right w:val="single" w:sz="6" w:space="0" w:color="BFBFBF"/>
            </w:tcBorders>
            <w:shd w:val="clear" w:color="auto" w:fill="auto"/>
            <w:hideMark/>
          </w:tcPr>
          <w:p w14:paraId="2ADEB4D4" w14:textId="77777777" w:rsidR="00D52006" w:rsidRPr="002E1299" w:rsidRDefault="00D52006" w:rsidP="00420532">
            <w:pPr>
              <w:ind w:right="284"/>
              <w:jc w:val="both"/>
              <w:textAlignment w:val="baseline"/>
              <w:rPr>
                <w:lang w:eastAsia="fr-BE"/>
              </w:rPr>
            </w:pPr>
            <w:r w:rsidRPr="002E1299">
              <w:rPr>
                <w:rFonts w:ascii="Arial" w:hAnsi="Arial" w:cs="Arial"/>
                <w:color w:val="0D0D0D"/>
                <w:sz w:val="20"/>
                <w:szCs w:val="20"/>
                <w:lang w:eastAsia="fr-BE"/>
              </w:rPr>
              <w:t xml:space="preserve">Duncan Ball, CEO </w:t>
            </w:r>
          </w:p>
        </w:tc>
        <w:tc>
          <w:tcPr>
            <w:tcW w:w="4046" w:type="dxa"/>
            <w:tcBorders>
              <w:top w:val="single" w:sz="6" w:space="0" w:color="BFBFBF"/>
              <w:left w:val="single" w:sz="6" w:space="0" w:color="BFBFBF"/>
              <w:bottom w:val="single" w:sz="6" w:space="0" w:color="BFBFBF"/>
              <w:right w:val="single" w:sz="6" w:space="0" w:color="BFBFBF"/>
            </w:tcBorders>
            <w:shd w:val="clear" w:color="auto" w:fill="auto"/>
            <w:hideMark/>
          </w:tcPr>
          <w:p w14:paraId="3CCBECAD" w14:textId="77777777" w:rsidR="00D52006" w:rsidRPr="002E1299" w:rsidRDefault="00D52006" w:rsidP="00420532">
            <w:pPr>
              <w:ind w:right="284"/>
              <w:jc w:val="both"/>
              <w:textAlignment w:val="baseline"/>
              <w:rPr>
                <w:lang w:eastAsia="fr-BE"/>
              </w:rPr>
            </w:pPr>
            <w:r w:rsidRPr="002E1299">
              <w:rPr>
                <w:rFonts w:ascii="Arial" w:hAnsi="Arial" w:cs="Arial"/>
                <w:color w:val="0D0D0D"/>
                <w:sz w:val="20"/>
                <w:szCs w:val="20"/>
                <w:lang w:eastAsia="fr-BE"/>
              </w:rPr>
              <w:t> </w:t>
            </w:r>
          </w:p>
        </w:tc>
      </w:tr>
      <w:tr w:rsidR="00D52006" w:rsidRPr="002E1299" w14:paraId="7EF29B23" w14:textId="77777777" w:rsidTr="00420532">
        <w:trPr>
          <w:trHeight w:val="300"/>
        </w:trPr>
        <w:tc>
          <w:tcPr>
            <w:tcW w:w="4954" w:type="dxa"/>
            <w:tcBorders>
              <w:top w:val="single" w:sz="6" w:space="0" w:color="BFBFBF"/>
              <w:left w:val="single" w:sz="6" w:space="0" w:color="BFBFBF"/>
              <w:bottom w:val="single" w:sz="6" w:space="0" w:color="BFBFBF"/>
              <w:right w:val="single" w:sz="6" w:space="0" w:color="BFBFBF"/>
            </w:tcBorders>
            <w:shd w:val="clear" w:color="auto" w:fill="auto"/>
            <w:hideMark/>
          </w:tcPr>
          <w:p w14:paraId="17190A31" w14:textId="77777777" w:rsidR="00D52006" w:rsidRPr="002E1299" w:rsidRDefault="00D52006" w:rsidP="00420532">
            <w:pPr>
              <w:ind w:right="284"/>
              <w:jc w:val="both"/>
              <w:textAlignment w:val="baseline"/>
              <w:rPr>
                <w:lang w:eastAsia="fr-BE"/>
              </w:rPr>
            </w:pPr>
            <w:r w:rsidRPr="002E1299">
              <w:rPr>
                <w:rFonts w:ascii="Arial" w:hAnsi="Arial" w:cs="Arial"/>
                <w:color w:val="0D0D0D"/>
                <w:sz w:val="20"/>
                <w:szCs w:val="20"/>
                <w:lang w:eastAsia="fr-BE"/>
              </w:rPr>
              <w:t>Michael Denny, CFO</w:t>
            </w:r>
            <w:r w:rsidRPr="002E1299">
              <w:rPr>
                <w:rFonts w:ascii="Arial" w:hAnsi="Arial" w:cs="Arial"/>
                <w:sz w:val="20"/>
                <w:szCs w:val="20"/>
                <w:lang w:eastAsia="fr-BE"/>
              </w:rPr>
              <w:t xml:space="preserve">O </w:t>
            </w:r>
          </w:p>
        </w:tc>
        <w:tc>
          <w:tcPr>
            <w:tcW w:w="4046" w:type="dxa"/>
            <w:tcBorders>
              <w:top w:val="single" w:sz="6" w:space="0" w:color="BFBFBF"/>
              <w:left w:val="single" w:sz="6" w:space="0" w:color="BFBFBF"/>
              <w:bottom w:val="single" w:sz="6" w:space="0" w:color="BFBFBF"/>
              <w:right w:val="single" w:sz="6" w:space="0" w:color="BFBFBF"/>
            </w:tcBorders>
            <w:shd w:val="clear" w:color="auto" w:fill="auto"/>
            <w:hideMark/>
          </w:tcPr>
          <w:p w14:paraId="36A8A5EF" w14:textId="77777777" w:rsidR="00D52006" w:rsidRPr="002E1299" w:rsidRDefault="00D52006" w:rsidP="00420532">
            <w:pPr>
              <w:ind w:right="284"/>
              <w:jc w:val="both"/>
              <w:textAlignment w:val="baseline"/>
              <w:rPr>
                <w:lang w:eastAsia="fr-BE"/>
              </w:rPr>
            </w:pPr>
            <w:r w:rsidRPr="002E1299">
              <w:rPr>
                <w:rFonts w:ascii="Arial" w:hAnsi="Arial" w:cs="Arial"/>
                <w:color w:val="0D0D0D"/>
                <w:sz w:val="20"/>
                <w:szCs w:val="20"/>
                <w:lang w:eastAsia="fr-BE"/>
              </w:rPr>
              <w:t> </w:t>
            </w:r>
          </w:p>
        </w:tc>
      </w:tr>
      <w:tr w:rsidR="00D52006" w:rsidRPr="002E1299" w14:paraId="0891C460" w14:textId="77777777" w:rsidTr="00420532">
        <w:trPr>
          <w:trHeight w:val="300"/>
        </w:trPr>
        <w:tc>
          <w:tcPr>
            <w:tcW w:w="4954" w:type="dxa"/>
            <w:tcBorders>
              <w:top w:val="single" w:sz="6" w:space="0" w:color="BFBFBF"/>
              <w:left w:val="single" w:sz="6" w:space="0" w:color="BFBFBF"/>
              <w:bottom w:val="single" w:sz="6" w:space="0" w:color="BFBFBF"/>
              <w:right w:val="single" w:sz="6" w:space="0" w:color="BFBFBF"/>
            </w:tcBorders>
            <w:shd w:val="clear" w:color="auto" w:fill="auto"/>
          </w:tcPr>
          <w:p w14:paraId="3C367B56" w14:textId="77777777" w:rsidR="00D52006" w:rsidRPr="002E1299" w:rsidRDefault="00D52006" w:rsidP="00420532">
            <w:pPr>
              <w:ind w:right="284"/>
              <w:jc w:val="both"/>
              <w:textAlignment w:val="baseline"/>
              <w:rPr>
                <w:rFonts w:ascii="Arial" w:hAnsi="Arial" w:cs="Arial"/>
                <w:color w:val="0D0D0D"/>
                <w:sz w:val="20"/>
                <w:szCs w:val="20"/>
                <w:lang w:eastAsia="fr-BE"/>
              </w:rPr>
            </w:pPr>
            <w:r w:rsidRPr="00BB380D">
              <w:rPr>
                <w:rFonts w:ascii="Arial" w:hAnsi="Arial" w:cs="Arial"/>
                <w:color w:val="0D0D0D"/>
                <w:sz w:val="20"/>
                <w:szCs w:val="20"/>
                <w:lang w:eastAsia="fr-BE"/>
              </w:rPr>
              <w:t>Dilip Kejriwal, Director of Investor Relations</w:t>
            </w:r>
          </w:p>
        </w:tc>
        <w:tc>
          <w:tcPr>
            <w:tcW w:w="4046" w:type="dxa"/>
            <w:tcBorders>
              <w:top w:val="single" w:sz="6" w:space="0" w:color="BFBFBF"/>
              <w:left w:val="single" w:sz="6" w:space="0" w:color="BFBFBF"/>
              <w:bottom w:val="single" w:sz="6" w:space="0" w:color="BFBFBF"/>
              <w:right w:val="single" w:sz="6" w:space="0" w:color="BFBFBF"/>
            </w:tcBorders>
            <w:shd w:val="clear" w:color="auto" w:fill="auto"/>
          </w:tcPr>
          <w:p w14:paraId="11266232" w14:textId="77777777" w:rsidR="00D52006" w:rsidRPr="002E1299" w:rsidRDefault="00D52006" w:rsidP="00420532">
            <w:pPr>
              <w:ind w:right="284"/>
              <w:jc w:val="both"/>
              <w:textAlignment w:val="baseline"/>
              <w:rPr>
                <w:rFonts w:ascii="Arial" w:hAnsi="Arial" w:cs="Arial"/>
                <w:color w:val="0D0D0D"/>
                <w:sz w:val="20"/>
                <w:szCs w:val="20"/>
                <w:lang w:eastAsia="fr-BE"/>
              </w:rPr>
            </w:pPr>
          </w:p>
        </w:tc>
      </w:tr>
    </w:tbl>
    <w:p w14:paraId="5B2750CB" w14:textId="77777777" w:rsidR="00D52006" w:rsidRPr="002E1299" w:rsidRDefault="00D52006" w:rsidP="00D52006">
      <w:pPr>
        <w:ind w:right="284"/>
        <w:textAlignment w:val="baseline"/>
        <w:rPr>
          <w:rFonts w:ascii="Segoe UI" w:hAnsi="Segoe UI" w:cs="Segoe UI"/>
          <w:sz w:val="18"/>
          <w:szCs w:val="18"/>
          <w:lang w:eastAsia="fr-BE"/>
        </w:rPr>
      </w:pPr>
      <w:r w:rsidRPr="002E1299">
        <w:rPr>
          <w:rFonts w:ascii="Arial" w:hAnsi="Arial" w:cs="Arial"/>
          <w:color w:val="0D0D0D"/>
          <w:sz w:val="20"/>
          <w:szCs w:val="20"/>
          <w:lang w:eastAsia="fr-BE"/>
        </w:rPr>
        <w:t> </w:t>
      </w:r>
    </w:p>
    <w:p w14:paraId="0E536540" w14:textId="77777777" w:rsidR="00D52006" w:rsidRPr="002E1299" w:rsidRDefault="00D52006" w:rsidP="00D52006">
      <w:pPr>
        <w:ind w:right="284"/>
        <w:jc w:val="both"/>
        <w:textAlignment w:val="baseline"/>
        <w:rPr>
          <w:rFonts w:ascii="Segoe UI" w:hAnsi="Segoe UI" w:cs="Segoe UI"/>
          <w:sz w:val="18"/>
          <w:szCs w:val="18"/>
          <w:lang w:eastAsia="fr-BE"/>
        </w:rPr>
      </w:pPr>
      <w:r w:rsidRPr="002E1299">
        <w:rPr>
          <w:rFonts w:ascii="Arial" w:hAnsi="Arial" w:cs="Arial"/>
          <w:color w:val="0D0D0D"/>
          <w:sz w:val="20"/>
          <w:szCs w:val="20"/>
          <w:lang w:eastAsia="fr-BE"/>
        </w:rPr>
        <w:t> </w:t>
      </w:r>
    </w:p>
    <w:p w14:paraId="305FF223" w14:textId="77777777" w:rsidR="00D52006" w:rsidRPr="002E1299" w:rsidRDefault="00D52006" w:rsidP="00D52006">
      <w:pPr>
        <w:autoSpaceDE w:val="0"/>
        <w:autoSpaceDN w:val="0"/>
        <w:adjustRightInd w:val="0"/>
        <w:spacing w:after="120"/>
        <w:ind w:right="284"/>
        <w:jc w:val="both"/>
        <w:rPr>
          <w:rFonts w:ascii="Arial" w:eastAsia="Calibri" w:hAnsi="Arial" w:cs="Arial"/>
          <w:b/>
          <w:bCs/>
          <w:color w:val="000000"/>
          <w:sz w:val="20"/>
          <w:szCs w:val="20"/>
        </w:rPr>
      </w:pPr>
      <w:r w:rsidRPr="002E1299">
        <w:rPr>
          <w:rFonts w:ascii="Arial" w:eastAsia="Calibri" w:hAnsi="Arial" w:cs="Arial"/>
          <w:b/>
          <w:bCs/>
          <w:color w:val="000000"/>
          <w:sz w:val="20"/>
          <w:szCs w:val="20"/>
        </w:rPr>
        <w:t>NOTES</w:t>
      </w:r>
    </w:p>
    <w:p w14:paraId="6BD8F0CB" w14:textId="77777777" w:rsidR="00D52006" w:rsidRPr="002E1299"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BBGI Global Infrastructure S.A. (BBGI) is a responsible infrastructure investment company and a constituent of the FTSE 250 that invests in and actively manages for the long-term a globally diversified, low-risk portfolio of essential social infrastructure investments.</w:t>
      </w:r>
    </w:p>
    <w:p w14:paraId="7C9A91E8" w14:textId="77777777" w:rsidR="00D52006" w:rsidRPr="002E1299" w:rsidRDefault="00D52006" w:rsidP="00D52006">
      <w:pPr>
        <w:ind w:right="284"/>
        <w:jc w:val="both"/>
        <w:rPr>
          <w:rFonts w:ascii="Arial" w:eastAsia="Calibri" w:hAnsi="Arial" w:cs="Arial"/>
          <w:sz w:val="20"/>
          <w:szCs w:val="20"/>
        </w:rPr>
      </w:pPr>
    </w:p>
    <w:p w14:paraId="50DC5C5A" w14:textId="77777777" w:rsidR="00D52006" w:rsidRPr="002E1299"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BBGI is committed to delivering stable and predictable cash flows with progressive long-term dividend growth and sustainable, returns for shareholders. BBGI has a proactive approach to preserving and enhancing the value of its investments, and to delivering well maintained social infrastructure for communities and end users.</w:t>
      </w:r>
    </w:p>
    <w:p w14:paraId="30CFD844" w14:textId="77777777" w:rsidR="00D52006" w:rsidRPr="002E1299" w:rsidRDefault="00D52006" w:rsidP="00D52006">
      <w:pPr>
        <w:ind w:right="284"/>
        <w:jc w:val="both"/>
        <w:rPr>
          <w:rFonts w:ascii="Arial" w:eastAsia="Calibri" w:hAnsi="Arial" w:cs="Arial"/>
          <w:sz w:val="20"/>
          <w:szCs w:val="20"/>
        </w:rPr>
      </w:pPr>
    </w:p>
    <w:p w14:paraId="30A86DF0" w14:textId="77777777" w:rsidR="00D52006" w:rsidRPr="002E1299"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All of BBGI’s investments are supported by secure public sector-backed contracted revenues, with high quality</w:t>
      </w:r>
      <w:r>
        <w:rPr>
          <w:rFonts w:ascii="Arial" w:eastAsia="Calibri" w:hAnsi="Arial" w:cs="Arial"/>
          <w:sz w:val="20"/>
          <w:szCs w:val="20"/>
        </w:rPr>
        <w:t>-</w:t>
      </w:r>
      <w:r w:rsidRPr="002E1299">
        <w:rPr>
          <w:rFonts w:ascii="Arial" w:eastAsia="Calibri" w:hAnsi="Arial" w:cs="Arial"/>
          <w:sz w:val="20"/>
          <w:szCs w:val="20"/>
        </w:rPr>
        <w:t>inflation linked characteristics. BBGI’s investment portfolio is 100% operational with all its investments located across highly rated investment grade countries with stable, well developed operating environments.</w:t>
      </w:r>
    </w:p>
    <w:p w14:paraId="488E63BB" w14:textId="77777777" w:rsidR="00D52006" w:rsidRPr="002E1299" w:rsidRDefault="00D52006" w:rsidP="00D52006">
      <w:pPr>
        <w:ind w:right="284"/>
        <w:jc w:val="both"/>
        <w:rPr>
          <w:rFonts w:ascii="Arial" w:eastAsia="Calibri" w:hAnsi="Arial" w:cs="Arial"/>
          <w:sz w:val="20"/>
          <w:szCs w:val="20"/>
        </w:rPr>
      </w:pPr>
    </w:p>
    <w:p w14:paraId="1994EB15" w14:textId="29829AF1" w:rsidR="00D52006" w:rsidRPr="002E1299"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 xml:space="preserve">Further information about BBGI is available on its website at </w:t>
      </w:r>
      <w:hyperlink r:id="rId13" w:history="1">
        <w:r w:rsidRPr="002E1299">
          <w:rPr>
            <w:rFonts w:ascii="Arial" w:eastAsia="Calibri" w:hAnsi="Arial" w:cs="Arial"/>
            <w:color w:val="0000FF"/>
            <w:sz w:val="20"/>
            <w:szCs w:val="20"/>
            <w:u w:val="single"/>
          </w:rPr>
          <w:t>www.bb-gi.com</w:t>
        </w:r>
      </w:hyperlink>
      <w:r w:rsidR="0004757F" w:rsidRPr="002E1299">
        <w:rPr>
          <w:rFonts w:ascii="Arial" w:eastAsia="Calibri" w:hAnsi="Arial" w:cs="Arial"/>
          <w:sz w:val="20"/>
          <w:szCs w:val="20"/>
        </w:rPr>
        <w:t>*</w:t>
      </w:r>
      <w:r w:rsidRPr="002E1299">
        <w:rPr>
          <w:rFonts w:ascii="Arial" w:eastAsia="Calibri" w:hAnsi="Arial" w:cs="Arial"/>
          <w:sz w:val="20"/>
          <w:szCs w:val="20"/>
        </w:rPr>
        <w:t>*.</w:t>
      </w:r>
    </w:p>
    <w:p w14:paraId="010B388F" w14:textId="77777777" w:rsidR="00D52006" w:rsidRPr="002E1299" w:rsidRDefault="00D52006" w:rsidP="00D52006">
      <w:pPr>
        <w:ind w:right="284"/>
        <w:jc w:val="both"/>
        <w:rPr>
          <w:rFonts w:ascii="Arial" w:eastAsia="Calibri" w:hAnsi="Arial" w:cs="Arial"/>
          <w:sz w:val="20"/>
          <w:szCs w:val="20"/>
        </w:rPr>
      </w:pPr>
    </w:p>
    <w:p w14:paraId="268574B5" w14:textId="77777777" w:rsidR="00D52006" w:rsidRPr="002E1299"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The Company's LEI: 529900CV0RWCOP5YHK95</w:t>
      </w:r>
    </w:p>
    <w:p w14:paraId="68DB046B" w14:textId="77777777" w:rsidR="00D52006" w:rsidRPr="002E1299" w:rsidRDefault="00D52006" w:rsidP="00D52006">
      <w:pPr>
        <w:ind w:right="284"/>
        <w:jc w:val="both"/>
        <w:rPr>
          <w:rFonts w:ascii="Arial" w:eastAsia="Calibri" w:hAnsi="Arial" w:cs="Arial"/>
          <w:sz w:val="20"/>
          <w:szCs w:val="20"/>
        </w:rPr>
      </w:pPr>
    </w:p>
    <w:p w14:paraId="354558D9" w14:textId="77777777" w:rsidR="00D52006" w:rsidRDefault="00D52006" w:rsidP="00D52006">
      <w:pPr>
        <w:ind w:right="284"/>
        <w:jc w:val="both"/>
        <w:rPr>
          <w:rFonts w:ascii="Arial" w:eastAsia="Calibri" w:hAnsi="Arial" w:cs="Arial"/>
          <w:sz w:val="20"/>
          <w:szCs w:val="20"/>
        </w:rPr>
      </w:pPr>
      <w:r w:rsidRPr="002E1299">
        <w:rPr>
          <w:rFonts w:ascii="Arial" w:eastAsia="Calibri" w:hAnsi="Arial" w:cs="Arial"/>
          <w:sz w:val="20"/>
          <w:szCs w:val="20"/>
        </w:rPr>
        <w:t>Any reference to the Company or BBGI refers also to its subsidiaries (where applicable).</w:t>
      </w:r>
    </w:p>
    <w:p w14:paraId="6D144FC5" w14:textId="77777777" w:rsidR="009B184B" w:rsidRPr="002E1299" w:rsidRDefault="009B184B" w:rsidP="00D52006">
      <w:pPr>
        <w:ind w:right="284"/>
        <w:jc w:val="both"/>
        <w:rPr>
          <w:rFonts w:ascii="Arial" w:eastAsia="Calibri" w:hAnsi="Arial" w:cs="Arial"/>
          <w:sz w:val="20"/>
          <w:szCs w:val="20"/>
        </w:rPr>
      </w:pPr>
    </w:p>
    <w:p w14:paraId="406E4211" w14:textId="2531C5F2" w:rsidR="00D52006" w:rsidRPr="0004757F" w:rsidRDefault="009B184B" w:rsidP="009B184B">
      <w:pPr>
        <w:ind w:right="284"/>
        <w:jc w:val="both"/>
        <w:rPr>
          <w:rFonts w:ascii="Arial" w:eastAsia="Calibri" w:hAnsi="Arial" w:cs="Arial"/>
          <w:i/>
          <w:iCs/>
          <w:sz w:val="20"/>
          <w:szCs w:val="20"/>
        </w:rPr>
      </w:pPr>
      <w:r w:rsidRPr="0004757F">
        <w:rPr>
          <w:rFonts w:ascii="Arial" w:eastAsia="Calibri" w:hAnsi="Arial" w:cs="Arial"/>
          <w:i/>
          <w:iCs/>
          <w:sz w:val="20"/>
          <w:szCs w:val="20"/>
        </w:rPr>
        <w:t>* A vote withheld is not a vote in law and is not counted in the calculation of the proportion of votes validly cast.</w:t>
      </w:r>
    </w:p>
    <w:p w14:paraId="7F2BAF61" w14:textId="77777777" w:rsidR="009B184B" w:rsidRPr="0004757F" w:rsidRDefault="009B184B" w:rsidP="009B184B">
      <w:pPr>
        <w:ind w:right="284"/>
        <w:jc w:val="both"/>
        <w:rPr>
          <w:rFonts w:ascii="Arial" w:eastAsia="Calibri" w:hAnsi="Arial" w:cs="Arial"/>
          <w:sz w:val="20"/>
          <w:szCs w:val="20"/>
        </w:rPr>
      </w:pPr>
    </w:p>
    <w:p w14:paraId="60E959B8" w14:textId="3A7D4FC0" w:rsidR="00D52006" w:rsidRPr="002E1299" w:rsidRDefault="009B184B" w:rsidP="00D52006">
      <w:pPr>
        <w:ind w:right="284"/>
        <w:jc w:val="both"/>
        <w:rPr>
          <w:rFonts w:ascii="Arial" w:eastAsia="Calibri" w:hAnsi="Arial" w:cs="Arial"/>
          <w:i/>
          <w:color w:val="000000"/>
          <w:sz w:val="20"/>
          <w:szCs w:val="20"/>
        </w:rPr>
      </w:pPr>
      <w:r>
        <w:rPr>
          <w:rFonts w:ascii="Arial" w:eastAsia="Calibri" w:hAnsi="Arial" w:cs="Arial"/>
          <w:i/>
          <w:sz w:val="20"/>
          <w:szCs w:val="20"/>
        </w:rPr>
        <w:t>*</w:t>
      </w:r>
      <w:r w:rsidR="00D52006" w:rsidRPr="002E1299">
        <w:rPr>
          <w:rFonts w:ascii="Arial" w:eastAsia="Calibri" w:hAnsi="Arial" w:cs="Arial"/>
          <w:i/>
          <w:sz w:val="20"/>
          <w:szCs w:val="20"/>
        </w:rPr>
        <w:t>* Neither the Company's website nor the content of any website accessible from hyperlinks on its website (or any other website) is (or is deemed to be) incorporated into, or forms (or is deemed to form) part of this announcement.</w:t>
      </w:r>
    </w:p>
    <w:p w14:paraId="7323D5FC" w14:textId="77777777" w:rsidR="00D52006" w:rsidRPr="00634684" w:rsidRDefault="00D52006" w:rsidP="00D52006">
      <w:pPr>
        <w:pStyle w:val="ct"/>
        <w:shd w:val="clear" w:color="auto" w:fill="FFFFFF"/>
        <w:spacing w:before="0" w:beforeAutospacing="0" w:after="0" w:afterAutospacing="0"/>
        <w:ind w:right="284"/>
        <w:jc w:val="both"/>
        <w:rPr>
          <w:color w:val="333333"/>
          <w:sz w:val="18"/>
          <w:szCs w:val="18"/>
        </w:rPr>
      </w:pPr>
      <w:r w:rsidRPr="00634684">
        <w:rPr>
          <w:rStyle w:val="cw"/>
          <w:rFonts w:ascii="Arial" w:hAnsi="Arial" w:cs="Arial"/>
          <w:color w:val="0D0D0D"/>
          <w:sz w:val="16"/>
          <w:szCs w:val="16"/>
        </w:rPr>
        <w:t> </w:t>
      </w:r>
    </w:p>
    <w:p w14:paraId="32FCEB73" w14:textId="77777777" w:rsidR="00666034" w:rsidRPr="007911ED" w:rsidRDefault="00666034" w:rsidP="004747AB">
      <w:pPr>
        <w:rPr>
          <w:rFonts w:ascii="Arial" w:hAnsi="Arial" w:cs="Arial"/>
          <w:sz w:val="20"/>
          <w:szCs w:val="20"/>
        </w:rPr>
      </w:pPr>
    </w:p>
    <w:sectPr w:rsidR="00666034" w:rsidRPr="007911ED" w:rsidSect="001A5B46">
      <w:footerReference w:type="default" r:id="rId14"/>
      <w:pgSz w:w="11907" w:h="16840" w:code="9"/>
      <w:pgMar w:top="567" w:right="992" w:bottom="567" w:left="1134" w:header="284" w:footer="2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8A64" w14:textId="77777777" w:rsidR="00C333D5" w:rsidRDefault="00C333D5">
      <w:r>
        <w:separator/>
      </w:r>
    </w:p>
  </w:endnote>
  <w:endnote w:type="continuationSeparator" w:id="0">
    <w:p w14:paraId="1986DFF4" w14:textId="77777777" w:rsidR="00C333D5" w:rsidRDefault="00C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6524" w14:textId="29A67202" w:rsidR="00371CD2" w:rsidRPr="00D32216" w:rsidRDefault="001A5B46" w:rsidP="00E40A57">
    <w:pPr>
      <w:pStyle w:val="Footer"/>
      <w:tabs>
        <w:tab w:val="right" w:pos="8787"/>
      </w:tabs>
      <w:rPr>
        <w:rFonts w:ascii="Arial" w:hAnsi="Arial" w:cs="Arial"/>
        <w:sz w:val="18"/>
        <w:szCs w:val="18"/>
        <w:lang w:val="de-DE"/>
      </w:rPr>
    </w:pPr>
    <w:r w:rsidRPr="001A5B46">
      <w:rPr>
        <w:rFonts w:ascii="Arial" w:hAnsi="Arial" w:cs="Arial"/>
        <w:sz w:val="18"/>
        <w:szCs w:val="18"/>
      </w:rPr>
      <w:fldChar w:fldCharType="begin"/>
    </w:r>
    <w:r w:rsidRPr="00D32216">
      <w:rPr>
        <w:rFonts w:ascii="Arial" w:hAnsi="Arial" w:cs="Arial"/>
        <w:sz w:val="18"/>
        <w:szCs w:val="18"/>
        <w:lang w:val="de-DE"/>
      </w:rPr>
      <w:instrText xml:space="preserve"> FILENAME   \* MERGEFORMAT </w:instrText>
    </w:r>
    <w:r w:rsidRPr="001A5B46">
      <w:rPr>
        <w:rFonts w:ascii="Arial" w:hAnsi="Arial" w:cs="Arial"/>
        <w:sz w:val="18"/>
        <w:szCs w:val="18"/>
      </w:rPr>
      <w:fldChar w:fldCharType="separate"/>
    </w:r>
    <w:r w:rsidR="00932923" w:rsidRPr="00D32216">
      <w:rPr>
        <w:rFonts w:ascii="Arial" w:hAnsi="Arial" w:cs="Arial"/>
        <w:noProof/>
        <w:sz w:val="18"/>
        <w:szCs w:val="18"/>
        <w:lang w:val="de-DE"/>
      </w:rPr>
      <w:t>202</w:t>
    </w:r>
    <w:r w:rsidR="00202834">
      <w:rPr>
        <w:rFonts w:ascii="Arial" w:hAnsi="Arial" w:cs="Arial"/>
        <w:noProof/>
        <w:sz w:val="18"/>
        <w:szCs w:val="18"/>
        <w:lang w:val="de-DE"/>
      </w:rPr>
      <w:t>4</w:t>
    </w:r>
    <w:r w:rsidR="00932923" w:rsidRPr="00D32216">
      <w:rPr>
        <w:rFonts w:ascii="Arial" w:hAnsi="Arial" w:cs="Arial"/>
        <w:noProof/>
        <w:sz w:val="18"/>
        <w:szCs w:val="18"/>
        <w:lang w:val="de-DE"/>
      </w:rPr>
      <w:t>04</w:t>
    </w:r>
    <w:r w:rsidR="00202834">
      <w:rPr>
        <w:rFonts w:ascii="Arial" w:hAnsi="Arial" w:cs="Arial"/>
        <w:noProof/>
        <w:sz w:val="18"/>
        <w:szCs w:val="18"/>
        <w:lang w:val="de-DE"/>
      </w:rPr>
      <w:t>30</w:t>
    </w:r>
    <w:r w:rsidR="00932923" w:rsidRPr="00D32216">
      <w:rPr>
        <w:rFonts w:ascii="Arial" w:hAnsi="Arial" w:cs="Arial"/>
        <w:noProof/>
        <w:sz w:val="18"/>
        <w:szCs w:val="18"/>
        <w:lang w:val="de-DE"/>
      </w:rPr>
      <w:t xml:space="preserve"> - BBGI Ann - AGM Results - draft.docx</w:t>
    </w:r>
    <w:r w:rsidRPr="001A5B46">
      <w:rPr>
        <w:rFonts w:ascii="Arial" w:hAnsi="Arial" w:cs="Arial"/>
        <w:sz w:val="18"/>
        <w:szCs w:val="18"/>
      </w:rPr>
      <w:fldChar w:fldCharType="end"/>
    </w:r>
    <w:r w:rsidR="00371CD2" w:rsidRPr="00D32216">
      <w:rPr>
        <w:rFonts w:ascii="Arial" w:hAnsi="Arial" w:cs="Arial"/>
        <w:sz w:val="18"/>
        <w:szCs w:val="18"/>
        <w:lang w:val="de-DE"/>
      </w:rPr>
      <w:tab/>
    </w:r>
    <w:bookmarkStart w:id="0" w:name="Page_Numbe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578C" w14:textId="77777777" w:rsidR="00C333D5" w:rsidRDefault="00C333D5">
      <w:pPr>
        <w:tabs>
          <w:tab w:val="left" w:pos="425"/>
        </w:tabs>
        <w:spacing w:before="72"/>
      </w:pPr>
      <w:r>
        <w:separator/>
      </w:r>
    </w:p>
  </w:footnote>
  <w:footnote w:type="continuationSeparator" w:id="0">
    <w:p w14:paraId="321B455A" w14:textId="77777777" w:rsidR="00C333D5" w:rsidRDefault="00C333D5">
      <w:pPr>
        <w:tabs>
          <w:tab w:val="left" w:pos="425"/>
        </w:tabs>
        <w:spacing w:before="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8823A8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rPr>
    </w:lvl>
    <w:lvl w:ilvl="3">
      <w:start w:val="1"/>
      <w:numFmt w:val="upperLetter"/>
      <w:pStyle w:val="Heading4"/>
      <w:lvlText w:val="(%4)"/>
      <w:lvlJc w:val="left"/>
      <w:pPr>
        <w:tabs>
          <w:tab w:val="num" w:pos="2268"/>
        </w:tabs>
        <w:ind w:left="2268" w:hanging="709"/>
      </w:pPr>
      <w:rPr>
        <w:rFonts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lowerRoman"/>
      <w:pStyle w:val="Heading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0AE105B"/>
    <w:multiLevelType w:val="hybridMultilevel"/>
    <w:tmpl w:val="F0C68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207CE"/>
    <w:multiLevelType w:val="hybridMultilevel"/>
    <w:tmpl w:val="307C76B4"/>
    <w:lvl w:ilvl="0" w:tplc="4AD8CD58">
      <w:start w:val="148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774A"/>
    <w:multiLevelType w:val="hybridMultilevel"/>
    <w:tmpl w:val="F878C23C"/>
    <w:lvl w:ilvl="0" w:tplc="0BFAD828">
      <w:start w:val="148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074C"/>
    <w:multiLevelType w:val="singleLevel"/>
    <w:tmpl w:val="48823A82"/>
    <w:lvl w:ilvl="0">
      <w:start w:val="1"/>
      <w:numFmt w:val="decimal"/>
      <w:lvlText w:val="%1."/>
      <w:legacy w:legacy="1" w:legacySpace="0" w:legacyIndent="720"/>
      <w:lvlJc w:val="left"/>
      <w:pPr>
        <w:ind w:left="720" w:hanging="720"/>
      </w:pPr>
    </w:lvl>
  </w:abstractNum>
  <w:abstractNum w:abstractNumId="5" w15:restartNumberingAfterBreak="0">
    <w:nsid w:val="1FF41E9D"/>
    <w:multiLevelType w:val="hybridMultilevel"/>
    <w:tmpl w:val="B1685862"/>
    <w:lvl w:ilvl="0" w:tplc="1786CBD8">
      <w:start w:val="1"/>
      <w:numFmt w:val="upperLetter"/>
      <w:pStyle w:val="AlphaBrackets"/>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1F42C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AF05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BF5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021FCB"/>
    <w:multiLevelType w:val="hybridMultilevel"/>
    <w:tmpl w:val="98DE2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761A9"/>
    <w:multiLevelType w:val="hybridMultilevel"/>
    <w:tmpl w:val="07442A02"/>
    <w:lvl w:ilvl="0" w:tplc="C956A24E">
      <w:start w:val="1"/>
      <w:numFmt w:val="decimal"/>
      <w:pStyle w:val="NumericBrackets"/>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4D65D9"/>
    <w:multiLevelType w:val="hybridMultilevel"/>
    <w:tmpl w:val="8668C78C"/>
    <w:lvl w:ilvl="0" w:tplc="474698E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F7815"/>
    <w:multiLevelType w:val="hybridMultilevel"/>
    <w:tmpl w:val="3EE664E6"/>
    <w:lvl w:ilvl="0" w:tplc="005C1978">
      <w:start w:val="1"/>
      <w:numFmt w:val="upperLetter"/>
      <w:pStyle w:val="Alpha"/>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102EB7"/>
    <w:multiLevelType w:val="singleLevel"/>
    <w:tmpl w:val="AD0C330E"/>
    <w:lvl w:ilvl="0">
      <w:start w:val="1"/>
      <w:numFmt w:val="upperLetter"/>
      <w:lvlText w:val="(%1)"/>
      <w:legacy w:legacy="1" w:legacySpace="0" w:legacyIndent="720"/>
      <w:lvlJc w:val="left"/>
      <w:pPr>
        <w:ind w:left="720" w:hanging="720"/>
      </w:pPr>
    </w:lvl>
  </w:abstractNum>
  <w:abstractNum w:abstractNumId="14" w15:restartNumberingAfterBreak="0">
    <w:nsid w:val="3F0C6E77"/>
    <w:multiLevelType w:val="hybridMultilevel"/>
    <w:tmpl w:val="19F419E4"/>
    <w:lvl w:ilvl="0" w:tplc="58E01302">
      <w:start w:val="1"/>
      <w:numFmt w:val="decimal"/>
      <w:pStyle w:val="Numeric"/>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867786"/>
    <w:multiLevelType w:val="multilevel"/>
    <w:tmpl w:val="F330F9D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0A33A68"/>
    <w:multiLevelType w:val="singleLevel"/>
    <w:tmpl w:val="AA586868"/>
    <w:lvl w:ilvl="0">
      <w:start w:val="1"/>
      <w:numFmt w:val="decimal"/>
      <w:lvlText w:val="(%1)"/>
      <w:legacy w:legacy="1" w:legacySpace="0" w:legacyIndent="720"/>
      <w:lvlJc w:val="left"/>
      <w:pPr>
        <w:ind w:left="720" w:hanging="720"/>
      </w:pPr>
    </w:lvl>
  </w:abstractNum>
  <w:abstractNum w:abstractNumId="17" w15:restartNumberingAfterBreak="0">
    <w:nsid w:val="5CD52022"/>
    <w:multiLevelType w:val="singleLevel"/>
    <w:tmpl w:val="48823A82"/>
    <w:lvl w:ilvl="0">
      <w:start w:val="1"/>
      <w:numFmt w:val="decimal"/>
      <w:lvlText w:val="%1."/>
      <w:legacy w:legacy="1" w:legacySpace="0" w:legacyIndent="720"/>
      <w:lvlJc w:val="left"/>
      <w:pPr>
        <w:ind w:left="720" w:hanging="720"/>
      </w:pPr>
    </w:lvl>
  </w:abstractNum>
  <w:abstractNum w:abstractNumId="18" w15:restartNumberingAfterBreak="0">
    <w:nsid w:val="5F7D121C"/>
    <w:multiLevelType w:val="hybridMultilevel"/>
    <w:tmpl w:val="052E144A"/>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824786E"/>
    <w:multiLevelType w:val="singleLevel"/>
    <w:tmpl w:val="BC3AAAF6"/>
    <w:lvl w:ilvl="0">
      <w:start w:val="1"/>
      <w:numFmt w:val="upperLetter"/>
      <w:lvlText w:val="%1."/>
      <w:legacy w:legacy="1" w:legacySpace="0" w:legacyIndent="720"/>
      <w:lvlJc w:val="left"/>
      <w:pPr>
        <w:ind w:left="720" w:hanging="720"/>
      </w:pPr>
    </w:lvl>
  </w:abstractNum>
  <w:abstractNum w:abstractNumId="20" w15:restartNumberingAfterBreak="0">
    <w:nsid w:val="6ED40684"/>
    <w:multiLevelType w:val="singleLevel"/>
    <w:tmpl w:val="AA586868"/>
    <w:lvl w:ilvl="0">
      <w:start w:val="1"/>
      <w:numFmt w:val="decimal"/>
      <w:lvlText w:val="(%1)"/>
      <w:legacy w:legacy="1" w:legacySpace="0" w:legacyIndent="720"/>
      <w:lvlJc w:val="left"/>
      <w:pPr>
        <w:ind w:left="720" w:hanging="720"/>
      </w:pPr>
    </w:lvl>
  </w:abstractNum>
  <w:abstractNum w:abstractNumId="21" w15:restartNumberingAfterBreak="0">
    <w:nsid w:val="7F0E1712"/>
    <w:multiLevelType w:val="hybridMultilevel"/>
    <w:tmpl w:val="27F2CFA2"/>
    <w:lvl w:ilvl="0" w:tplc="EDFEADB0">
      <w:start w:val="1"/>
      <w:numFmt w:val="decimal"/>
      <w:lvlText w:val="%1."/>
      <w:lvlJc w:val="left"/>
      <w:pPr>
        <w:ind w:left="720" w:hanging="360"/>
      </w:pPr>
      <w:rPr>
        <w:rFonts w:cs="Times New Roman" w:hint="default"/>
        <w:i w:val="0"/>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934091381">
    <w:abstractNumId w:val="0"/>
  </w:num>
  <w:num w:numId="2" w16cid:durableId="621569289">
    <w:abstractNumId w:val="15"/>
  </w:num>
  <w:num w:numId="3" w16cid:durableId="604729443">
    <w:abstractNumId w:val="16"/>
  </w:num>
  <w:num w:numId="4" w16cid:durableId="488517544">
    <w:abstractNumId w:val="17"/>
  </w:num>
  <w:num w:numId="5" w16cid:durableId="534317299">
    <w:abstractNumId w:val="13"/>
  </w:num>
  <w:num w:numId="6" w16cid:durableId="155919561">
    <w:abstractNumId w:val="5"/>
  </w:num>
  <w:num w:numId="7" w16cid:durableId="46609503">
    <w:abstractNumId w:val="20"/>
  </w:num>
  <w:num w:numId="8" w16cid:durableId="1081565594">
    <w:abstractNumId w:val="10"/>
  </w:num>
  <w:num w:numId="9" w16cid:durableId="829711556">
    <w:abstractNumId w:val="19"/>
  </w:num>
  <w:num w:numId="10" w16cid:durableId="899709140">
    <w:abstractNumId w:val="12"/>
  </w:num>
  <w:num w:numId="11" w16cid:durableId="2142570639">
    <w:abstractNumId w:val="7"/>
  </w:num>
  <w:num w:numId="12" w16cid:durableId="1145438779">
    <w:abstractNumId w:val="8"/>
  </w:num>
  <w:num w:numId="13" w16cid:durableId="2070881789">
    <w:abstractNumId w:val="4"/>
  </w:num>
  <w:num w:numId="14" w16cid:durableId="154273383">
    <w:abstractNumId w:val="14"/>
  </w:num>
  <w:num w:numId="15" w16cid:durableId="1884707126">
    <w:abstractNumId w:val="6"/>
  </w:num>
  <w:num w:numId="16" w16cid:durableId="1252356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874490">
    <w:abstractNumId w:val="9"/>
  </w:num>
  <w:num w:numId="18" w16cid:durableId="895313367">
    <w:abstractNumId w:val="1"/>
  </w:num>
  <w:num w:numId="19" w16cid:durableId="1605844732">
    <w:abstractNumId w:val="3"/>
  </w:num>
  <w:num w:numId="20" w16cid:durableId="1989816892">
    <w:abstractNumId w:val="2"/>
  </w:num>
  <w:num w:numId="21" w16cid:durableId="724719379">
    <w:abstractNumId w:val="21"/>
  </w:num>
  <w:num w:numId="22" w16cid:durableId="1145706539">
    <w:abstractNumId w:val="18"/>
  </w:num>
  <w:num w:numId="23" w16cid:durableId="158121287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57"/>
    <w:rsid w:val="00023ED4"/>
    <w:rsid w:val="0004757F"/>
    <w:rsid w:val="00080A9F"/>
    <w:rsid w:val="00085FDF"/>
    <w:rsid w:val="000C527F"/>
    <w:rsid w:val="000F3673"/>
    <w:rsid w:val="00106987"/>
    <w:rsid w:val="001169A1"/>
    <w:rsid w:val="00142555"/>
    <w:rsid w:val="00146565"/>
    <w:rsid w:val="00151069"/>
    <w:rsid w:val="00166F2E"/>
    <w:rsid w:val="00172CD0"/>
    <w:rsid w:val="00186F75"/>
    <w:rsid w:val="001959BA"/>
    <w:rsid w:val="0019660F"/>
    <w:rsid w:val="001A5B46"/>
    <w:rsid w:val="001A7440"/>
    <w:rsid w:val="001B663F"/>
    <w:rsid w:val="001D2E14"/>
    <w:rsid w:val="001E4A7B"/>
    <w:rsid w:val="001E56F0"/>
    <w:rsid w:val="00202834"/>
    <w:rsid w:val="002036A8"/>
    <w:rsid w:val="00221F1F"/>
    <w:rsid w:val="00227962"/>
    <w:rsid w:val="002333AE"/>
    <w:rsid w:val="00236AA1"/>
    <w:rsid w:val="0024052F"/>
    <w:rsid w:val="00242A1B"/>
    <w:rsid w:val="00244248"/>
    <w:rsid w:val="00247DE8"/>
    <w:rsid w:val="00251284"/>
    <w:rsid w:val="00257678"/>
    <w:rsid w:val="002812A5"/>
    <w:rsid w:val="002A25BC"/>
    <w:rsid w:val="002B2559"/>
    <w:rsid w:val="002B2641"/>
    <w:rsid w:val="002B6CB0"/>
    <w:rsid w:val="002E7AFE"/>
    <w:rsid w:val="002F181D"/>
    <w:rsid w:val="0033102E"/>
    <w:rsid w:val="00332B9A"/>
    <w:rsid w:val="00335E4C"/>
    <w:rsid w:val="00362F3E"/>
    <w:rsid w:val="00371CD2"/>
    <w:rsid w:val="003A1EA1"/>
    <w:rsid w:val="003A5830"/>
    <w:rsid w:val="003C621B"/>
    <w:rsid w:val="00425475"/>
    <w:rsid w:val="00427BC0"/>
    <w:rsid w:val="004402BC"/>
    <w:rsid w:val="004747AB"/>
    <w:rsid w:val="004942E2"/>
    <w:rsid w:val="004B4926"/>
    <w:rsid w:val="004E7BA8"/>
    <w:rsid w:val="0052079E"/>
    <w:rsid w:val="00520A5E"/>
    <w:rsid w:val="00525F11"/>
    <w:rsid w:val="00557492"/>
    <w:rsid w:val="00562155"/>
    <w:rsid w:val="00565F7F"/>
    <w:rsid w:val="00570209"/>
    <w:rsid w:val="0057272E"/>
    <w:rsid w:val="0059660C"/>
    <w:rsid w:val="00615243"/>
    <w:rsid w:val="00666034"/>
    <w:rsid w:val="00667FF9"/>
    <w:rsid w:val="006A1598"/>
    <w:rsid w:val="006C28D8"/>
    <w:rsid w:val="006F15EE"/>
    <w:rsid w:val="006F176D"/>
    <w:rsid w:val="006F478C"/>
    <w:rsid w:val="006F49F3"/>
    <w:rsid w:val="006F79F5"/>
    <w:rsid w:val="00703D41"/>
    <w:rsid w:val="007044D6"/>
    <w:rsid w:val="007278E8"/>
    <w:rsid w:val="007677E9"/>
    <w:rsid w:val="007872AA"/>
    <w:rsid w:val="007902EF"/>
    <w:rsid w:val="007911ED"/>
    <w:rsid w:val="007A7E44"/>
    <w:rsid w:val="007B11F8"/>
    <w:rsid w:val="007B3BB3"/>
    <w:rsid w:val="007C0510"/>
    <w:rsid w:val="007C4F49"/>
    <w:rsid w:val="00802EEC"/>
    <w:rsid w:val="00804290"/>
    <w:rsid w:val="00804334"/>
    <w:rsid w:val="00830206"/>
    <w:rsid w:val="008664A1"/>
    <w:rsid w:val="008724AF"/>
    <w:rsid w:val="008768F3"/>
    <w:rsid w:val="00886075"/>
    <w:rsid w:val="008C4B9A"/>
    <w:rsid w:val="008C655F"/>
    <w:rsid w:val="008D5DC8"/>
    <w:rsid w:val="008F0223"/>
    <w:rsid w:val="008F17AE"/>
    <w:rsid w:val="0090186A"/>
    <w:rsid w:val="00924D1D"/>
    <w:rsid w:val="00932923"/>
    <w:rsid w:val="00934F00"/>
    <w:rsid w:val="009566CD"/>
    <w:rsid w:val="0098406C"/>
    <w:rsid w:val="009A705E"/>
    <w:rsid w:val="009B184B"/>
    <w:rsid w:val="009C1A58"/>
    <w:rsid w:val="00A005A0"/>
    <w:rsid w:val="00A05A05"/>
    <w:rsid w:val="00A170F0"/>
    <w:rsid w:val="00A17370"/>
    <w:rsid w:val="00A22CB5"/>
    <w:rsid w:val="00A35C49"/>
    <w:rsid w:val="00A62365"/>
    <w:rsid w:val="00A677CD"/>
    <w:rsid w:val="00A73B97"/>
    <w:rsid w:val="00A928A3"/>
    <w:rsid w:val="00AA0181"/>
    <w:rsid w:val="00AA2FE9"/>
    <w:rsid w:val="00AC4201"/>
    <w:rsid w:val="00AD09D3"/>
    <w:rsid w:val="00AF4AB2"/>
    <w:rsid w:val="00B16050"/>
    <w:rsid w:val="00B26D55"/>
    <w:rsid w:val="00B352F7"/>
    <w:rsid w:val="00B4053B"/>
    <w:rsid w:val="00B4166C"/>
    <w:rsid w:val="00B903BB"/>
    <w:rsid w:val="00BA1D6F"/>
    <w:rsid w:val="00BD0861"/>
    <w:rsid w:val="00BE0FC5"/>
    <w:rsid w:val="00BF074B"/>
    <w:rsid w:val="00BF3608"/>
    <w:rsid w:val="00C028E5"/>
    <w:rsid w:val="00C177A3"/>
    <w:rsid w:val="00C238BD"/>
    <w:rsid w:val="00C333D5"/>
    <w:rsid w:val="00C35250"/>
    <w:rsid w:val="00C6345F"/>
    <w:rsid w:val="00C7132E"/>
    <w:rsid w:val="00C862B6"/>
    <w:rsid w:val="00C911C9"/>
    <w:rsid w:val="00CA59E8"/>
    <w:rsid w:val="00CB33AF"/>
    <w:rsid w:val="00CB72D9"/>
    <w:rsid w:val="00CC17FB"/>
    <w:rsid w:val="00CE0223"/>
    <w:rsid w:val="00CF2262"/>
    <w:rsid w:val="00CF5046"/>
    <w:rsid w:val="00D31306"/>
    <w:rsid w:val="00D32216"/>
    <w:rsid w:val="00D46B14"/>
    <w:rsid w:val="00D47A56"/>
    <w:rsid w:val="00D52006"/>
    <w:rsid w:val="00D6065A"/>
    <w:rsid w:val="00D64D55"/>
    <w:rsid w:val="00D74FCC"/>
    <w:rsid w:val="00D86795"/>
    <w:rsid w:val="00DE20FB"/>
    <w:rsid w:val="00DE7488"/>
    <w:rsid w:val="00DF4E41"/>
    <w:rsid w:val="00E059ED"/>
    <w:rsid w:val="00E26576"/>
    <w:rsid w:val="00E34D09"/>
    <w:rsid w:val="00E40A57"/>
    <w:rsid w:val="00E4325C"/>
    <w:rsid w:val="00E46C7F"/>
    <w:rsid w:val="00E7475D"/>
    <w:rsid w:val="00E757F7"/>
    <w:rsid w:val="00E86426"/>
    <w:rsid w:val="00E9103C"/>
    <w:rsid w:val="00E94414"/>
    <w:rsid w:val="00EA1D63"/>
    <w:rsid w:val="00EA5E5E"/>
    <w:rsid w:val="00EB4B92"/>
    <w:rsid w:val="00EC6558"/>
    <w:rsid w:val="00EE077C"/>
    <w:rsid w:val="00EF3E2C"/>
    <w:rsid w:val="00F2659B"/>
    <w:rsid w:val="00F27692"/>
    <w:rsid w:val="00F37F5B"/>
    <w:rsid w:val="00F41A17"/>
    <w:rsid w:val="00F50EC6"/>
    <w:rsid w:val="00F61750"/>
    <w:rsid w:val="00F71E8D"/>
    <w:rsid w:val="00FA1DE5"/>
    <w:rsid w:val="00FC459C"/>
    <w:rsid w:val="00FC6428"/>
    <w:rsid w:val="00FD2766"/>
    <w:rsid w:val="00FD3E1B"/>
    <w:rsid w:val="00FE2D55"/>
    <w:rsid w:val="00FF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32E7CC7"/>
  <w15:chartTrackingRefBased/>
  <w15:docId w15:val="{438702FE-2D0E-475B-A896-67C1DFED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A57"/>
    <w:rPr>
      <w:rFonts w:eastAsia="Times New Roman"/>
      <w:sz w:val="24"/>
      <w:szCs w:val="24"/>
    </w:rPr>
  </w:style>
  <w:style w:type="paragraph" w:styleId="Heading1">
    <w:name w:val="heading 1"/>
    <w:basedOn w:val="Normal"/>
    <w:next w:val="BodyText"/>
    <w:qFormat/>
    <w:rsid w:val="009566CD"/>
    <w:pPr>
      <w:keepNext/>
      <w:numPr>
        <w:numId w:val="1"/>
      </w:numPr>
      <w:spacing w:before="200" w:after="100"/>
      <w:outlineLvl w:val="0"/>
    </w:pPr>
    <w:rPr>
      <w:b/>
      <w:caps/>
    </w:rPr>
  </w:style>
  <w:style w:type="paragraph" w:styleId="Heading2">
    <w:name w:val="heading 2"/>
    <w:basedOn w:val="Normal"/>
    <w:next w:val="BodyText"/>
    <w:qFormat/>
    <w:rsid w:val="009566CD"/>
    <w:pPr>
      <w:keepNext/>
      <w:numPr>
        <w:ilvl w:val="1"/>
        <w:numId w:val="1"/>
      </w:numPr>
      <w:spacing w:before="100" w:after="100"/>
      <w:outlineLvl w:val="1"/>
    </w:pPr>
    <w:rPr>
      <w:b/>
    </w:rPr>
  </w:style>
  <w:style w:type="paragraph" w:styleId="Heading3">
    <w:name w:val="heading 3"/>
    <w:basedOn w:val="Normal"/>
    <w:next w:val="BodyText"/>
    <w:qFormat/>
    <w:rsid w:val="009566CD"/>
    <w:pPr>
      <w:numPr>
        <w:ilvl w:val="2"/>
        <w:numId w:val="1"/>
      </w:numPr>
      <w:spacing w:before="100" w:after="100"/>
      <w:ind w:left="1560" w:hanging="851"/>
      <w:outlineLvl w:val="2"/>
    </w:pPr>
  </w:style>
  <w:style w:type="paragraph" w:styleId="Heading4">
    <w:name w:val="heading 4"/>
    <w:basedOn w:val="Normal"/>
    <w:next w:val="BodyText"/>
    <w:qFormat/>
    <w:rsid w:val="009566CD"/>
    <w:pPr>
      <w:numPr>
        <w:ilvl w:val="3"/>
        <w:numId w:val="1"/>
      </w:numPr>
      <w:spacing w:before="100" w:after="100"/>
      <w:outlineLvl w:val="3"/>
    </w:pPr>
  </w:style>
  <w:style w:type="paragraph" w:styleId="Heading5">
    <w:name w:val="heading 5"/>
    <w:basedOn w:val="Normal"/>
    <w:next w:val="BodyText"/>
    <w:qFormat/>
    <w:rsid w:val="009566CD"/>
    <w:pPr>
      <w:numPr>
        <w:ilvl w:val="4"/>
        <w:numId w:val="1"/>
      </w:numPr>
      <w:tabs>
        <w:tab w:val="num" w:pos="3686"/>
      </w:tabs>
      <w:spacing w:before="100" w:after="100"/>
      <w:outlineLvl w:val="4"/>
    </w:pPr>
  </w:style>
  <w:style w:type="paragraph" w:styleId="Heading6">
    <w:name w:val="heading 6"/>
    <w:basedOn w:val="Normal"/>
    <w:next w:val="BodyText"/>
    <w:qFormat/>
    <w:rsid w:val="009566CD"/>
    <w:pPr>
      <w:numPr>
        <w:ilvl w:val="5"/>
        <w:numId w:val="1"/>
      </w:numPr>
      <w:tabs>
        <w:tab w:val="right" w:pos="8789"/>
      </w:tabs>
      <w:spacing w:before="100" w:after="100"/>
      <w:outlineLvl w:val="5"/>
    </w:pPr>
  </w:style>
  <w:style w:type="paragraph" w:styleId="Heading7">
    <w:name w:val="heading 7"/>
    <w:basedOn w:val="Normal"/>
    <w:next w:val="BodyText"/>
    <w:qFormat/>
    <w:rsid w:val="009566CD"/>
    <w:pPr>
      <w:numPr>
        <w:ilvl w:val="6"/>
        <w:numId w:val="1"/>
      </w:numPr>
      <w:spacing w:before="100" w:after="100"/>
      <w:ind w:left="4395" w:hanging="709"/>
      <w:outlineLvl w:val="6"/>
    </w:pPr>
  </w:style>
  <w:style w:type="paragraph" w:styleId="Heading8">
    <w:name w:val="heading 8"/>
    <w:basedOn w:val="Normal"/>
    <w:next w:val="Normal"/>
    <w:qFormat/>
    <w:rsid w:val="009566CD"/>
    <w:pPr>
      <w:spacing w:before="100" w:after="100"/>
      <w:outlineLvl w:val="7"/>
    </w:pPr>
    <w:rPr>
      <w:iCs/>
    </w:rPr>
  </w:style>
  <w:style w:type="paragraph" w:styleId="Heading9">
    <w:name w:val="heading 9"/>
    <w:basedOn w:val="Normal"/>
    <w:next w:val="Normal"/>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459C"/>
    <w:pPr>
      <w:spacing w:before="100" w:after="100"/>
    </w:pPr>
  </w:style>
  <w:style w:type="paragraph" w:customStyle="1" w:styleId="Alpha">
    <w:name w:val="Alpha"/>
    <w:basedOn w:val="Normal"/>
    <w:next w:val="BodyText"/>
    <w:rsid w:val="00525F11"/>
    <w:pPr>
      <w:numPr>
        <w:numId w:val="10"/>
      </w:numPr>
      <w:tabs>
        <w:tab w:val="left" w:pos="1559"/>
        <w:tab w:val="left" w:pos="2268"/>
        <w:tab w:val="left" w:pos="2977"/>
        <w:tab w:val="left" w:pos="3686"/>
        <w:tab w:val="left" w:pos="4394"/>
        <w:tab w:val="right" w:pos="8789"/>
      </w:tabs>
      <w:spacing w:before="100" w:after="100"/>
    </w:pPr>
    <w:rPr>
      <w:lang w:eastAsia="en-US"/>
    </w:rPr>
  </w:style>
  <w:style w:type="paragraph" w:customStyle="1" w:styleId="AlphaBrackets">
    <w:name w:val="AlphaBrackets"/>
    <w:basedOn w:val="BodyText"/>
    <w:next w:val="BodyText"/>
    <w:rsid w:val="008768F3"/>
    <w:pPr>
      <w:numPr>
        <w:numId w:val="6"/>
      </w:numPr>
    </w:pPr>
    <w:rPr>
      <w:lang w:eastAsia="en-US"/>
    </w:rPr>
  </w:style>
  <w:style w:type="paragraph" w:styleId="Footer">
    <w:name w:val="footer"/>
    <w:basedOn w:val="Normal"/>
    <w:rPr>
      <w:sz w:val="14"/>
    </w:rPr>
  </w:style>
  <w:style w:type="paragraph" w:styleId="TOC5">
    <w:name w:val="toc 5"/>
    <w:basedOn w:val="Normal"/>
    <w:next w:val="Normal"/>
    <w:semiHidden/>
    <w:rsid w:val="00FE2D55"/>
  </w:style>
  <w:style w:type="paragraph" w:customStyle="1" w:styleId="Numeric">
    <w:name w:val="Numeric"/>
    <w:basedOn w:val="BodyText"/>
    <w:next w:val="BodyText"/>
    <w:rsid w:val="00525F11"/>
    <w:pPr>
      <w:numPr>
        <w:numId w:val="14"/>
      </w:numPr>
      <w:tabs>
        <w:tab w:val="left" w:pos="1559"/>
        <w:tab w:val="left" w:pos="2268"/>
        <w:tab w:val="left" w:pos="2977"/>
        <w:tab w:val="left" w:pos="3686"/>
        <w:tab w:val="left" w:pos="4394"/>
        <w:tab w:val="right" w:pos="8789"/>
      </w:tabs>
    </w:pPr>
    <w:rPr>
      <w:lang w:eastAsia="en-US"/>
    </w:rPr>
  </w:style>
  <w:style w:type="paragraph" w:customStyle="1" w:styleId="NumericBrackets">
    <w:name w:val="NumericBrackets"/>
    <w:basedOn w:val="BodyText"/>
    <w:next w:val="BodyText"/>
    <w:rsid w:val="00525F11"/>
    <w:pPr>
      <w:numPr>
        <w:numId w:val="8"/>
      </w:numPr>
      <w:tabs>
        <w:tab w:val="left" w:pos="1559"/>
        <w:tab w:val="left" w:pos="2268"/>
        <w:tab w:val="left" w:pos="2977"/>
        <w:tab w:val="left" w:pos="3686"/>
        <w:tab w:val="left" w:pos="4394"/>
        <w:tab w:val="right" w:pos="8789"/>
      </w:tabs>
    </w:pPr>
    <w:rPr>
      <w:lang w:eastAsia="en-US"/>
    </w:r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semiHidden/>
    <w:rsid w:val="00FE2D55"/>
    <w:pPr>
      <w:tabs>
        <w:tab w:val="left" w:pos="1134"/>
        <w:tab w:val="right" w:leader="dot" w:pos="8789"/>
      </w:tabs>
      <w:ind w:left="1134" w:right="992" w:hanging="1134"/>
    </w:pPr>
    <w:rPr>
      <w:caps/>
    </w:rPr>
  </w:style>
  <w:style w:type="paragraph" w:styleId="TOC2">
    <w:name w:val="toc 2"/>
    <w:basedOn w:val="BodyText"/>
    <w:next w:val="BodyText"/>
    <w:semiHidden/>
    <w:rsid w:val="00FE2D55"/>
    <w:pPr>
      <w:tabs>
        <w:tab w:val="left" w:leader="dot" w:pos="1701"/>
        <w:tab w:val="right" w:leader="dot" w:pos="8789"/>
      </w:tabs>
      <w:spacing w:before="0" w:after="0"/>
      <w:ind w:left="1134" w:right="992" w:hanging="1134"/>
    </w:pPr>
    <w:rPr>
      <w:noProof/>
    </w:rPr>
  </w:style>
  <w:style w:type="paragraph" w:styleId="TOC3">
    <w:name w:val="toc 3"/>
    <w:basedOn w:val="BodyText"/>
    <w:next w:val="BodyText"/>
    <w:semiHidden/>
    <w:rsid w:val="00FE2D55"/>
    <w:pPr>
      <w:tabs>
        <w:tab w:val="left" w:pos="1134"/>
        <w:tab w:val="right" w:leader="dot" w:pos="8789"/>
      </w:tabs>
      <w:adjustRightInd w:val="0"/>
      <w:spacing w:before="0" w:after="0"/>
      <w:ind w:left="1985" w:right="992" w:hanging="851"/>
    </w:p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pPr>
    <w:rPr>
      <w:sz w:val="20"/>
    </w:rPr>
  </w:style>
  <w:style w:type="paragraph" w:customStyle="1" w:styleId="FootnoteTextContinue">
    <w:name w:val="Footnote Text Continue"/>
    <w:basedOn w:val="Normal"/>
    <w:autoRedefine/>
    <w:rsid w:val="008724AF"/>
    <w:pPr>
      <w:ind w:left="119"/>
    </w:pPr>
    <w:rPr>
      <w:sz w:val="20"/>
    </w:rPr>
  </w:style>
  <w:style w:type="paragraph" w:styleId="Header">
    <w:name w:val="header"/>
    <w:basedOn w:val="Normal"/>
    <w:rsid w:val="00E40A57"/>
    <w:pPr>
      <w:tabs>
        <w:tab w:val="center" w:pos="4153"/>
        <w:tab w:val="right" w:pos="8306"/>
      </w:tabs>
    </w:pPr>
  </w:style>
  <w:style w:type="paragraph" w:customStyle="1" w:styleId="ah">
    <w:name w:val="ah"/>
    <w:basedOn w:val="Normal"/>
    <w:rsid w:val="00EB4B92"/>
    <w:pPr>
      <w:spacing w:before="100" w:beforeAutospacing="1" w:after="100" w:afterAutospacing="1"/>
    </w:pPr>
  </w:style>
  <w:style w:type="character" w:customStyle="1" w:styleId="af">
    <w:name w:val="af"/>
    <w:basedOn w:val="DefaultParagraphFont"/>
    <w:rsid w:val="00EB4B92"/>
  </w:style>
  <w:style w:type="paragraph" w:customStyle="1" w:styleId="a">
    <w:name w:val="a"/>
    <w:basedOn w:val="Normal"/>
    <w:rsid w:val="00EB4B92"/>
    <w:pPr>
      <w:spacing w:before="100" w:beforeAutospacing="1" w:after="100" w:afterAutospacing="1"/>
    </w:pPr>
  </w:style>
  <w:style w:type="character" w:customStyle="1" w:styleId="ad">
    <w:name w:val="ad"/>
    <w:basedOn w:val="DefaultParagraphFont"/>
    <w:rsid w:val="00EB4B92"/>
  </w:style>
  <w:style w:type="paragraph" w:customStyle="1" w:styleId="aj">
    <w:name w:val="aj"/>
    <w:basedOn w:val="Normal"/>
    <w:rsid w:val="00EB4B92"/>
    <w:pPr>
      <w:spacing w:before="100" w:beforeAutospacing="1" w:after="100" w:afterAutospacing="1"/>
    </w:pPr>
  </w:style>
  <w:style w:type="character" w:customStyle="1" w:styleId="x">
    <w:name w:val="x"/>
    <w:basedOn w:val="DefaultParagraphFont"/>
    <w:rsid w:val="00EB4B92"/>
  </w:style>
  <w:style w:type="paragraph" w:customStyle="1" w:styleId="ak">
    <w:name w:val="ak"/>
    <w:basedOn w:val="Normal"/>
    <w:rsid w:val="00EB4B92"/>
    <w:pPr>
      <w:spacing w:before="100" w:beforeAutospacing="1" w:after="100" w:afterAutospacing="1"/>
    </w:pPr>
  </w:style>
  <w:style w:type="paragraph" w:customStyle="1" w:styleId="al">
    <w:name w:val="al"/>
    <w:basedOn w:val="Normal"/>
    <w:rsid w:val="00EB4B92"/>
    <w:pPr>
      <w:spacing w:before="100" w:beforeAutospacing="1" w:after="100" w:afterAutospacing="1"/>
    </w:pPr>
  </w:style>
  <w:style w:type="paragraph" w:customStyle="1" w:styleId="b">
    <w:name w:val="b"/>
    <w:basedOn w:val="Normal"/>
    <w:rsid w:val="00EB4B92"/>
    <w:pPr>
      <w:spacing w:before="100" w:beforeAutospacing="1" w:after="100" w:afterAutospacing="1"/>
    </w:pPr>
  </w:style>
  <w:style w:type="paragraph" w:customStyle="1" w:styleId="ab">
    <w:name w:val="ab"/>
    <w:basedOn w:val="Normal"/>
    <w:rsid w:val="00EB4B92"/>
    <w:pPr>
      <w:spacing w:before="100" w:beforeAutospacing="1" w:after="100" w:afterAutospacing="1"/>
    </w:pPr>
  </w:style>
  <w:style w:type="character" w:customStyle="1" w:styleId="z">
    <w:name w:val="z"/>
    <w:basedOn w:val="DefaultParagraphFont"/>
    <w:rsid w:val="00EB4B92"/>
  </w:style>
  <w:style w:type="paragraph" w:customStyle="1" w:styleId="ac">
    <w:name w:val="ac"/>
    <w:basedOn w:val="Normal"/>
    <w:rsid w:val="00EB4B92"/>
    <w:pPr>
      <w:spacing w:before="100" w:beforeAutospacing="1" w:after="100" w:afterAutospacing="1"/>
    </w:pPr>
  </w:style>
  <w:style w:type="character" w:customStyle="1" w:styleId="v">
    <w:name w:val="v"/>
    <w:basedOn w:val="DefaultParagraphFont"/>
    <w:rsid w:val="00EB4B92"/>
  </w:style>
  <w:style w:type="paragraph" w:customStyle="1" w:styleId="ae">
    <w:name w:val="ae"/>
    <w:basedOn w:val="Normal"/>
    <w:rsid w:val="00EB4B92"/>
    <w:pPr>
      <w:spacing w:before="100" w:beforeAutospacing="1" w:after="100" w:afterAutospacing="1"/>
    </w:pPr>
  </w:style>
  <w:style w:type="character" w:styleId="Hyperlink">
    <w:name w:val="Hyperlink"/>
    <w:unhideWhenUsed/>
    <w:rsid w:val="006F176D"/>
    <w:rPr>
      <w:color w:val="0000FF"/>
      <w:u w:val="single"/>
    </w:rPr>
  </w:style>
  <w:style w:type="paragraph" w:customStyle="1" w:styleId="bc">
    <w:name w:val="bc"/>
    <w:basedOn w:val="Normal"/>
    <w:rsid w:val="006F176D"/>
    <w:pPr>
      <w:spacing w:before="100" w:beforeAutospacing="1" w:after="100" w:afterAutospacing="1"/>
    </w:pPr>
  </w:style>
  <w:style w:type="character" w:customStyle="1" w:styleId="ba">
    <w:name w:val="ba"/>
    <w:basedOn w:val="DefaultParagraphFont"/>
    <w:rsid w:val="006F176D"/>
  </w:style>
  <w:style w:type="character" w:customStyle="1" w:styleId="ay">
    <w:name w:val="ay"/>
    <w:basedOn w:val="DefaultParagraphFont"/>
    <w:rsid w:val="006F176D"/>
  </w:style>
  <w:style w:type="character" w:customStyle="1" w:styleId="ax">
    <w:name w:val="ax"/>
    <w:basedOn w:val="DefaultParagraphFont"/>
    <w:rsid w:val="006F176D"/>
  </w:style>
  <w:style w:type="character" w:customStyle="1" w:styleId="aw">
    <w:name w:val="aw"/>
    <w:basedOn w:val="DefaultParagraphFont"/>
    <w:rsid w:val="006F176D"/>
  </w:style>
  <w:style w:type="paragraph" w:customStyle="1" w:styleId="bd">
    <w:name w:val="bd"/>
    <w:basedOn w:val="Normal"/>
    <w:rsid w:val="006F176D"/>
    <w:pPr>
      <w:spacing w:before="100" w:beforeAutospacing="1" w:after="100" w:afterAutospacing="1"/>
    </w:pPr>
  </w:style>
  <w:style w:type="paragraph" w:customStyle="1" w:styleId="be">
    <w:name w:val="be"/>
    <w:basedOn w:val="Normal"/>
    <w:rsid w:val="006F176D"/>
    <w:pPr>
      <w:spacing w:before="100" w:beforeAutospacing="1" w:after="100" w:afterAutospacing="1"/>
    </w:pPr>
  </w:style>
  <w:style w:type="paragraph" w:customStyle="1" w:styleId="bg">
    <w:name w:val="bg"/>
    <w:basedOn w:val="Normal"/>
    <w:rsid w:val="006F176D"/>
    <w:pPr>
      <w:spacing w:before="100" w:beforeAutospacing="1" w:after="100" w:afterAutospacing="1"/>
    </w:pPr>
  </w:style>
  <w:style w:type="paragraph" w:customStyle="1" w:styleId="bh">
    <w:name w:val="bh"/>
    <w:basedOn w:val="Normal"/>
    <w:rsid w:val="006F176D"/>
    <w:pPr>
      <w:spacing w:before="100" w:beforeAutospacing="1" w:after="100" w:afterAutospacing="1"/>
    </w:pPr>
  </w:style>
  <w:style w:type="character" w:customStyle="1" w:styleId="bi">
    <w:name w:val="bi"/>
    <w:basedOn w:val="DefaultParagraphFont"/>
    <w:rsid w:val="006F176D"/>
  </w:style>
  <w:style w:type="character" w:customStyle="1" w:styleId="i">
    <w:name w:val="i"/>
    <w:basedOn w:val="DefaultParagraphFont"/>
    <w:rsid w:val="006F176D"/>
  </w:style>
  <w:style w:type="table" w:styleId="TableGrid">
    <w:name w:val="Table Grid"/>
    <w:basedOn w:val="TableNormal"/>
    <w:rsid w:val="00F27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
    <w:name w:val="hs"/>
    <w:basedOn w:val="Normal"/>
    <w:rsid w:val="004747AB"/>
    <w:pPr>
      <w:spacing w:before="100" w:beforeAutospacing="1" w:after="100" w:afterAutospacing="1"/>
    </w:pPr>
  </w:style>
  <w:style w:type="character" w:customStyle="1" w:styleId="hk">
    <w:name w:val="hk"/>
    <w:basedOn w:val="DefaultParagraphFont"/>
    <w:rsid w:val="004747AB"/>
  </w:style>
  <w:style w:type="character" w:customStyle="1" w:styleId="hh">
    <w:name w:val="hh"/>
    <w:basedOn w:val="DefaultParagraphFont"/>
    <w:rsid w:val="004747AB"/>
  </w:style>
  <w:style w:type="character" w:styleId="FollowedHyperlink">
    <w:name w:val="FollowedHyperlink"/>
    <w:rsid w:val="008F17AE"/>
    <w:rPr>
      <w:color w:val="800080"/>
      <w:u w:val="single"/>
    </w:rPr>
  </w:style>
  <w:style w:type="character" w:styleId="HTMLKeyboard">
    <w:name w:val="HTML Keyboard"/>
    <w:rsid w:val="00BF074B"/>
    <w:rPr>
      <w:rFonts w:ascii="Courier New" w:eastAsia="Times New Roman" w:hAnsi="Courier New" w:cs="Courier New" w:hint="default"/>
      <w:color w:val="000000"/>
      <w:sz w:val="18"/>
      <w:szCs w:val="18"/>
    </w:rPr>
  </w:style>
  <w:style w:type="paragraph" w:styleId="BalloonText">
    <w:name w:val="Balloon Text"/>
    <w:basedOn w:val="Normal"/>
    <w:link w:val="BalloonTextChar"/>
    <w:rsid w:val="007911ED"/>
    <w:rPr>
      <w:rFonts w:ascii="Segoe UI" w:hAnsi="Segoe UI" w:cs="Segoe UI"/>
      <w:sz w:val="18"/>
      <w:szCs w:val="18"/>
    </w:rPr>
  </w:style>
  <w:style w:type="character" w:customStyle="1" w:styleId="BalloonTextChar">
    <w:name w:val="Balloon Text Char"/>
    <w:link w:val="BalloonText"/>
    <w:rsid w:val="007911ED"/>
    <w:rPr>
      <w:rFonts w:ascii="Segoe UI" w:eastAsia="Times New Roman" w:hAnsi="Segoe UI" w:cs="Segoe UI"/>
      <w:sz w:val="18"/>
      <w:szCs w:val="18"/>
    </w:rPr>
  </w:style>
  <w:style w:type="paragraph" w:customStyle="1" w:styleId="nb">
    <w:name w:val="nb"/>
    <w:basedOn w:val="Normal"/>
    <w:rsid w:val="0057272E"/>
    <w:pPr>
      <w:spacing w:before="100" w:beforeAutospacing="1" w:after="100" w:afterAutospacing="1"/>
    </w:pPr>
  </w:style>
  <w:style w:type="paragraph" w:styleId="ListParagraph">
    <w:name w:val="List Paragraph"/>
    <w:basedOn w:val="Normal"/>
    <w:uiPriority w:val="34"/>
    <w:qFormat/>
    <w:rsid w:val="00565F7F"/>
    <w:pPr>
      <w:ind w:left="720"/>
      <w:contextualSpacing/>
    </w:pPr>
  </w:style>
  <w:style w:type="table" w:styleId="TableGridLight">
    <w:name w:val="Grid Table Light"/>
    <w:basedOn w:val="TableNormal"/>
    <w:uiPriority w:val="40"/>
    <w:rsid w:val="00FD2766"/>
    <w:rPr>
      <w:rFonts w:asciiTheme="minorHAnsi" w:eastAsiaTheme="minorHAnsi" w:hAnsiTheme="minorHAnsi" w:cstheme="minorBidi"/>
      <w:sz w:val="24"/>
      <w:szCs w:val="24"/>
      <w:lang w:val="en-C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32923"/>
    <w:rPr>
      <w:rFonts w:eastAsia="Times New Roman"/>
      <w:sz w:val="24"/>
      <w:szCs w:val="24"/>
    </w:rPr>
  </w:style>
  <w:style w:type="character" w:styleId="UnresolvedMention">
    <w:name w:val="Unresolved Mention"/>
    <w:basedOn w:val="DefaultParagraphFont"/>
    <w:uiPriority w:val="99"/>
    <w:semiHidden/>
    <w:unhideWhenUsed/>
    <w:rsid w:val="00202834"/>
    <w:rPr>
      <w:color w:val="605E5C"/>
      <w:shd w:val="clear" w:color="auto" w:fill="E1DFDD"/>
    </w:rPr>
  </w:style>
  <w:style w:type="paragraph" w:customStyle="1" w:styleId="ColorfulList-Accent11">
    <w:name w:val="Colorful List - Accent 11"/>
    <w:basedOn w:val="Normal"/>
    <w:uiPriority w:val="99"/>
    <w:rsid w:val="001E4A7B"/>
    <w:pPr>
      <w:spacing w:after="160" w:line="259" w:lineRule="auto"/>
      <w:ind w:left="720"/>
      <w:contextualSpacing/>
    </w:pPr>
    <w:rPr>
      <w:rFonts w:ascii="Calibri" w:hAnsi="Calibri"/>
      <w:sz w:val="22"/>
      <w:szCs w:val="22"/>
    </w:rPr>
  </w:style>
  <w:style w:type="character" w:customStyle="1" w:styleId="bt">
    <w:name w:val="bt"/>
    <w:basedOn w:val="DefaultParagraphFont"/>
    <w:rsid w:val="002036A8"/>
    <w:rPr>
      <w:rFonts w:ascii="Arial" w:hAnsi="Arial" w:cs="Arial" w:hint="default"/>
      <w:color w:val="000000"/>
      <w:sz w:val="20"/>
      <w:szCs w:val="20"/>
    </w:rPr>
  </w:style>
  <w:style w:type="paragraph" w:customStyle="1" w:styleId="ct">
    <w:name w:val="ct"/>
    <w:basedOn w:val="Normal"/>
    <w:rsid w:val="00D52006"/>
    <w:pPr>
      <w:spacing w:before="100" w:beforeAutospacing="1" w:after="100" w:afterAutospacing="1"/>
    </w:pPr>
  </w:style>
  <w:style w:type="character" w:customStyle="1" w:styleId="cw">
    <w:name w:val="cw"/>
    <w:basedOn w:val="DefaultParagraphFont"/>
    <w:rsid w:val="00D5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9969">
      <w:bodyDiv w:val="1"/>
      <w:marLeft w:val="0"/>
      <w:marRight w:val="0"/>
      <w:marTop w:val="0"/>
      <w:marBottom w:val="0"/>
      <w:divBdr>
        <w:top w:val="none" w:sz="0" w:space="0" w:color="auto"/>
        <w:left w:val="none" w:sz="0" w:space="0" w:color="auto"/>
        <w:bottom w:val="none" w:sz="0" w:space="0" w:color="auto"/>
        <w:right w:val="none" w:sz="0" w:space="0" w:color="auto"/>
      </w:divBdr>
    </w:div>
    <w:div w:id="97599710">
      <w:bodyDiv w:val="1"/>
      <w:marLeft w:val="0"/>
      <w:marRight w:val="0"/>
      <w:marTop w:val="0"/>
      <w:marBottom w:val="0"/>
      <w:divBdr>
        <w:top w:val="none" w:sz="0" w:space="0" w:color="auto"/>
        <w:left w:val="none" w:sz="0" w:space="0" w:color="auto"/>
        <w:bottom w:val="none" w:sz="0" w:space="0" w:color="auto"/>
        <w:right w:val="none" w:sz="0" w:space="0" w:color="auto"/>
      </w:divBdr>
    </w:div>
    <w:div w:id="140737812">
      <w:bodyDiv w:val="1"/>
      <w:marLeft w:val="0"/>
      <w:marRight w:val="0"/>
      <w:marTop w:val="0"/>
      <w:marBottom w:val="0"/>
      <w:divBdr>
        <w:top w:val="none" w:sz="0" w:space="0" w:color="auto"/>
        <w:left w:val="none" w:sz="0" w:space="0" w:color="auto"/>
        <w:bottom w:val="none" w:sz="0" w:space="0" w:color="auto"/>
        <w:right w:val="none" w:sz="0" w:space="0" w:color="auto"/>
      </w:divBdr>
    </w:div>
    <w:div w:id="285237440">
      <w:bodyDiv w:val="1"/>
      <w:marLeft w:val="0"/>
      <w:marRight w:val="0"/>
      <w:marTop w:val="0"/>
      <w:marBottom w:val="0"/>
      <w:divBdr>
        <w:top w:val="none" w:sz="0" w:space="0" w:color="auto"/>
        <w:left w:val="none" w:sz="0" w:space="0" w:color="auto"/>
        <w:bottom w:val="none" w:sz="0" w:space="0" w:color="auto"/>
        <w:right w:val="none" w:sz="0" w:space="0" w:color="auto"/>
      </w:divBdr>
    </w:div>
    <w:div w:id="579828584">
      <w:bodyDiv w:val="1"/>
      <w:marLeft w:val="0"/>
      <w:marRight w:val="0"/>
      <w:marTop w:val="0"/>
      <w:marBottom w:val="0"/>
      <w:divBdr>
        <w:top w:val="none" w:sz="0" w:space="0" w:color="auto"/>
        <w:left w:val="none" w:sz="0" w:space="0" w:color="auto"/>
        <w:bottom w:val="none" w:sz="0" w:space="0" w:color="auto"/>
        <w:right w:val="none" w:sz="0" w:space="0" w:color="auto"/>
      </w:divBdr>
    </w:div>
    <w:div w:id="657853792">
      <w:bodyDiv w:val="1"/>
      <w:marLeft w:val="0"/>
      <w:marRight w:val="0"/>
      <w:marTop w:val="0"/>
      <w:marBottom w:val="0"/>
      <w:divBdr>
        <w:top w:val="none" w:sz="0" w:space="0" w:color="auto"/>
        <w:left w:val="none" w:sz="0" w:space="0" w:color="auto"/>
        <w:bottom w:val="none" w:sz="0" w:space="0" w:color="auto"/>
        <w:right w:val="none" w:sz="0" w:space="0" w:color="auto"/>
      </w:divBdr>
    </w:div>
    <w:div w:id="718633567">
      <w:bodyDiv w:val="1"/>
      <w:marLeft w:val="0"/>
      <w:marRight w:val="0"/>
      <w:marTop w:val="0"/>
      <w:marBottom w:val="0"/>
      <w:divBdr>
        <w:top w:val="none" w:sz="0" w:space="0" w:color="auto"/>
        <w:left w:val="none" w:sz="0" w:space="0" w:color="auto"/>
        <w:bottom w:val="none" w:sz="0" w:space="0" w:color="auto"/>
        <w:right w:val="none" w:sz="0" w:space="0" w:color="auto"/>
      </w:divBdr>
    </w:div>
    <w:div w:id="735667172">
      <w:bodyDiv w:val="1"/>
      <w:marLeft w:val="0"/>
      <w:marRight w:val="0"/>
      <w:marTop w:val="0"/>
      <w:marBottom w:val="0"/>
      <w:divBdr>
        <w:top w:val="none" w:sz="0" w:space="0" w:color="auto"/>
        <w:left w:val="none" w:sz="0" w:space="0" w:color="auto"/>
        <w:bottom w:val="none" w:sz="0" w:space="0" w:color="auto"/>
        <w:right w:val="none" w:sz="0" w:space="0" w:color="auto"/>
      </w:divBdr>
      <w:divsChild>
        <w:div w:id="1186211720">
          <w:marLeft w:val="0"/>
          <w:marRight w:val="0"/>
          <w:marTop w:val="0"/>
          <w:marBottom w:val="0"/>
          <w:divBdr>
            <w:top w:val="none" w:sz="0" w:space="0" w:color="auto"/>
            <w:left w:val="none" w:sz="0" w:space="0" w:color="auto"/>
            <w:bottom w:val="none" w:sz="0" w:space="0" w:color="auto"/>
            <w:right w:val="none" w:sz="0" w:space="0" w:color="auto"/>
          </w:divBdr>
          <w:divsChild>
            <w:div w:id="20932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433">
      <w:bodyDiv w:val="1"/>
      <w:marLeft w:val="0"/>
      <w:marRight w:val="0"/>
      <w:marTop w:val="0"/>
      <w:marBottom w:val="0"/>
      <w:divBdr>
        <w:top w:val="none" w:sz="0" w:space="0" w:color="auto"/>
        <w:left w:val="none" w:sz="0" w:space="0" w:color="auto"/>
        <w:bottom w:val="none" w:sz="0" w:space="0" w:color="auto"/>
        <w:right w:val="none" w:sz="0" w:space="0" w:color="auto"/>
      </w:divBdr>
    </w:div>
    <w:div w:id="911738196">
      <w:bodyDiv w:val="1"/>
      <w:marLeft w:val="0"/>
      <w:marRight w:val="0"/>
      <w:marTop w:val="0"/>
      <w:marBottom w:val="0"/>
      <w:divBdr>
        <w:top w:val="none" w:sz="0" w:space="0" w:color="auto"/>
        <w:left w:val="none" w:sz="0" w:space="0" w:color="auto"/>
        <w:bottom w:val="none" w:sz="0" w:space="0" w:color="auto"/>
        <w:right w:val="none" w:sz="0" w:space="0" w:color="auto"/>
      </w:divBdr>
      <w:divsChild>
        <w:div w:id="1864661722">
          <w:marLeft w:val="0"/>
          <w:marRight w:val="0"/>
          <w:marTop w:val="0"/>
          <w:marBottom w:val="0"/>
          <w:divBdr>
            <w:top w:val="none" w:sz="0" w:space="0" w:color="auto"/>
            <w:left w:val="none" w:sz="0" w:space="0" w:color="auto"/>
            <w:bottom w:val="none" w:sz="0" w:space="0" w:color="auto"/>
            <w:right w:val="none" w:sz="0" w:space="0" w:color="auto"/>
          </w:divBdr>
          <w:divsChild>
            <w:div w:id="19156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4192">
      <w:bodyDiv w:val="1"/>
      <w:marLeft w:val="0"/>
      <w:marRight w:val="0"/>
      <w:marTop w:val="0"/>
      <w:marBottom w:val="0"/>
      <w:divBdr>
        <w:top w:val="none" w:sz="0" w:space="0" w:color="auto"/>
        <w:left w:val="none" w:sz="0" w:space="0" w:color="auto"/>
        <w:bottom w:val="none" w:sz="0" w:space="0" w:color="auto"/>
        <w:right w:val="none" w:sz="0" w:space="0" w:color="auto"/>
      </w:divBdr>
    </w:div>
    <w:div w:id="1039015474">
      <w:bodyDiv w:val="1"/>
      <w:marLeft w:val="0"/>
      <w:marRight w:val="0"/>
      <w:marTop w:val="0"/>
      <w:marBottom w:val="0"/>
      <w:divBdr>
        <w:top w:val="none" w:sz="0" w:space="0" w:color="auto"/>
        <w:left w:val="none" w:sz="0" w:space="0" w:color="auto"/>
        <w:bottom w:val="none" w:sz="0" w:space="0" w:color="auto"/>
        <w:right w:val="none" w:sz="0" w:space="0" w:color="auto"/>
      </w:divBdr>
    </w:div>
    <w:div w:id="1187871980">
      <w:bodyDiv w:val="1"/>
      <w:marLeft w:val="0"/>
      <w:marRight w:val="0"/>
      <w:marTop w:val="0"/>
      <w:marBottom w:val="0"/>
      <w:divBdr>
        <w:top w:val="none" w:sz="0" w:space="0" w:color="auto"/>
        <w:left w:val="none" w:sz="0" w:space="0" w:color="auto"/>
        <w:bottom w:val="none" w:sz="0" w:space="0" w:color="auto"/>
        <w:right w:val="none" w:sz="0" w:space="0" w:color="auto"/>
      </w:divBdr>
      <w:divsChild>
        <w:div w:id="1403064059">
          <w:marLeft w:val="0"/>
          <w:marRight w:val="0"/>
          <w:marTop w:val="0"/>
          <w:marBottom w:val="0"/>
          <w:divBdr>
            <w:top w:val="none" w:sz="0" w:space="0" w:color="auto"/>
            <w:left w:val="none" w:sz="0" w:space="0" w:color="auto"/>
            <w:bottom w:val="none" w:sz="0" w:space="0" w:color="auto"/>
            <w:right w:val="none" w:sz="0" w:space="0" w:color="auto"/>
          </w:divBdr>
          <w:divsChild>
            <w:div w:id="17405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223">
      <w:bodyDiv w:val="1"/>
      <w:marLeft w:val="0"/>
      <w:marRight w:val="0"/>
      <w:marTop w:val="0"/>
      <w:marBottom w:val="0"/>
      <w:divBdr>
        <w:top w:val="none" w:sz="0" w:space="0" w:color="auto"/>
        <w:left w:val="none" w:sz="0" w:space="0" w:color="auto"/>
        <w:bottom w:val="none" w:sz="0" w:space="0" w:color="auto"/>
        <w:right w:val="none" w:sz="0" w:space="0" w:color="auto"/>
      </w:divBdr>
    </w:div>
    <w:div w:id="1277327082">
      <w:bodyDiv w:val="1"/>
      <w:marLeft w:val="0"/>
      <w:marRight w:val="0"/>
      <w:marTop w:val="0"/>
      <w:marBottom w:val="0"/>
      <w:divBdr>
        <w:top w:val="none" w:sz="0" w:space="0" w:color="auto"/>
        <w:left w:val="none" w:sz="0" w:space="0" w:color="auto"/>
        <w:bottom w:val="none" w:sz="0" w:space="0" w:color="auto"/>
        <w:right w:val="none" w:sz="0" w:space="0" w:color="auto"/>
      </w:divBdr>
      <w:divsChild>
        <w:div w:id="981808504">
          <w:marLeft w:val="0"/>
          <w:marRight w:val="0"/>
          <w:marTop w:val="0"/>
          <w:marBottom w:val="0"/>
          <w:divBdr>
            <w:top w:val="none" w:sz="0" w:space="0" w:color="auto"/>
            <w:left w:val="none" w:sz="0" w:space="0" w:color="auto"/>
            <w:bottom w:val="none" w:sz="0" w:space="0" w:color="auto"/>
            <w:right w:val="none" w:sz="0" w:space="0" w:color="auto"/>
          </w:divBdr>
          <w:divsChild>
            <w:div w:id="3946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232">
      <w:bodyDiv w:val="1"/>
      <w:marLeft w:val="0"/>
      <w:marRight w:val="0"/>
      <w:marTop w:val="0"/>
      <w:marBottom w:val="0"/>
      <w:divBdr>
        <w:top w:val="none" w:sz="0" w:space="0" w:color="auto"/>
        <w:left w:val="none" w:sz="0" w:space="0" w:color="auto"/>
        <w:bottom w:val="none" w:sz="0" w:space="0" w:color="auto"/>
        <w:right w:val="none" w:sz="0" w:space="0" w:color="auto"/>
      </w:divBdr>
    </w:div>
    <w:div w:id="1351906660">
      <w:bodyDiv w:val="1"/>
      <w:marLeft w:val="0"/>
      <w:marRight w:val="0"/>
      <w:marTop w:val="0"/>
      <w:marBottom w:val="0"/>
      <w:divBdr>
        <w:top w:val="none" w:sz="0" w:space="0" w:color="auto"/>
        <w:left w:val="none" w:sz="0" w:space="0" w:color="auto"/>
        <w:bottom w:val="none" w:sz="0" w:space="0" w:color="auto"/>
        <w:right w:val="none" w:sz="0" w:space="0" w:color="auto"/>
      </w:divBdr>
    </w:div>
    <w:div w:id="1440561419">
      <w:bodyDiv w:val="1"/>
      <w:marLeft w:val="0"/>
      <w:marRight w:val="0"/>
      <w:marTop w:val="0"/>
      <w:marBottom w:val="0"/>
      <w:divBdr>
        <w:top w:val="none" w:sz="0" w:space="0" w:color="auto"/>
        <w:left w:val="none" w:sz="0" w:space="0" w:color="auto"/>
        <w:bottom w:val="none" w:sz="0" w:space="0" w:color="auto"/>
        <w:right w:val="none" w:sz="0" w:space="0" w:color="auto"/>
      </w:divBdr>
    </w:div>
    <w:div w:id="1494567850">
      <w:bodyDiv w:val="1"/>
      <w:marLeft w:val="0"/>
      <w:marRight w:val="0"/>
      <w:marTop w:val="0"/>
      <w:marBottom w:val="0"/>
      <w:divBdr>
        <w:top w:val="none" w:sz="0" w:space="0" w:color="auto"/>
        <w:left w:val="none" w:sz="0" w:space="0" w:color="auto"/>
        <w:bottom w:val="none" w:sz="0" w:space="0" w:color="auto"/>
        <w:right w:val="none" w:sz="0" w:space="0" w:color="auto"/>
      </w:divBdr>
    </w:div>
    <w:div w:id="1563519124">
      <w:bodyDiv w:val="1"/>
      <w:marLeft w:val="0"/>
      <w:marRight w:val="0"/>
      <w:marTop w:val="0"/>
      <w:marBottom w:val="0"/>
      <w:divBdr>
        <w:top w:val="none" w:sz="0" w:space="0" w:color="auto"/>
        <w:left w:val="none" w:sz="0" w:space="0" w:color="auto"/>
        <w:bottom w:val="none" w:sz="0" w:space="0" w:color="auto"/>
        <w:right w:val="none" w:sz="0" w:space="0" w:color="auto"/>
      </w:divBdr>
    </w:div>
    <w:div w:id="1595359036">
      <w:bodyDiv w:val="1"/>
      <w:marLeft w:val="0"/>
      <w:marRight w:val="0"/>
      <w:marTop w:val="0"/>
      <w:marBottom w:val="0"/>
      <w:divBdr>
        <w:top w:val="none" w:sz="0" w:space="0" w:color="auto"/>
        <w:left w:val="none" w:sz="0" w:space="0" w:color="auto"/>
        <w:bottom w:val="none" w:sz="0" w:space="0" w:color="auto"/>
        <w:right w:val="none" w:sz="0" w:space="0" w:color="auto"/>
      </w:divBdr>
    </w:div>
    <w:div w:id="1694306887">
      <w:bodyDiv w:val="1"/>
      <w:marLeft w:val="0"/>
      <w:marRight w:val="0"/>
      <w:marTop w:val="0"/>
      <w:marBottom w:val="0"/>
      <w:divBdr>
        <w:top w:val="none" w:sz="0" w:space="0" w:color="auto"/>
        <w:left w:val="none" w:sz="0" w:space="0" w:color="auto"/>
        <w:bottom w:val="none" w:sz="0" w:space="0" w:color="auto"/>
        <w:right w:val="none" w:sz="0" w:space="0" w:color="auto"/>
      </w:divBdr>
      <w:divsChild>
        <w:div w:id="1054427467">
          <w:marLeft w:val="0"/>
          <w:marRight w:val="0"/>
          <w:marTop w:val="0"/>
          <w:marBottom w:val="0"/>
          <w:divBdr>
            <w:top w:val="none" w:sz="0" w:space="0" w:color="auto"/>
            <w:left w:val="none" w:sz="0" w:space="0" w:color="auto"/>
            <w:bottom w:val="none" w:sz="0" w:space="0" w:color="auto"/>
            <w:right w:val="none" w:sz="0" w:space="0" w:color="auto"/>
          </w:divBdr>
          <w:divsChild>
            <w:div w:id="6266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4035">
      <w:bodyDiv w:val="1"/>
      <w:marLeft w:val="0"/>
      <w:marRight w:val="0"/>
      <w:marTop w:val="0"/>
      <w:marBottom w:val="0"/>
      <w:divBdr>
        <w:top w:val="none" w:sz="0" w:space="0" w:color="auto"/>
        <w:left w:val="none" w:sz="0" w:space="0" w:color="auto"/>
        <w:bottom w:val="none" w:sz="0" w:space="0" w:color="auto"/>
        <w:right w:val="none" w:sz="0" w:space="0" w:color="auto"/>
      </w:divBdr>
    </w:div>
    <w:div w:id="1878658932">
      <w:bodyDiv w:val="1"/>
      <w:marLeft w:val="0"/>
      <w:marRight w:val="0"/>
      <w:marTop w:val="0"/>
      <w:marBottom w:val="0"/>
      <w:divBdr>
        <w:top w:val="none" w:sz="0" w:space="0" w:color="auto"/>
        <w:left w:val="none" w:sz="0" w:space="0" w:color="auto"/>
        <w:bottom w:val="none" w:sz="0" w:space="0" w:color="auto"/>
        <w:right w:val="none" w:sz="0" w:space="0" w:color="auto"/>
      </w:divBdr>
    </w:div>
    <w:div w:id="1926958051">
      <w:bodyDiv w:val="1"/>
      <w:marLeft w:val="0"/>
      <w:marRight w:val="0"/>
      <w:marTop w:val="0"/>
      <w:marBottom w:val="0"/>
      <w:divBdr>
        <w:top w:val="none" w:sz="0" w:space="0" w:color="auto"/>
        <w:left w:val="none" w:sz="0" w:space="0" w:color="auto"/>
        <w:bottom w:val="none" w:sz="0" w:space="0" w:color="auto"/>
        <w:right w:val="none" w:sz="0" w:space="0" w:color="auto"/>
      </w:divBdr>
    </w:div>
    <w:div w:id="2042628410">
      <w:bodyDiv w:val="1"/>
      <w:marLeft w:val="0"/>
      <w:marRight w:val="0"/>
      <w:marTop w:val="0"/>
      <w:marBottom w:val="0"/>
      <w:divBdr>
        <w:top w:val="none" w:sz="0" w:space="0" w:color="auto"/>
        <w:left w:val="none" w:sz="0" w:space="0" w:color="auto"/>
        <w:bottom w:val="none" w:sz="0" w:space="0" w:color="auto"/>
        <w:right w:val="none" w:sz="0" w:space="0" w:color="auto"/>
      </w:divBdr>
    </w:div>
    <w:div w:id="213320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gi.com/investors/regulatory-news/" TargetMode="External"/><Relationship Id="rId13" Type="http://schemas.openxmlformats.org/officeDocument/2006/relationships/hyperlink" Target="http://www.bb-g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g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fc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fca.org.uk/" TargetMode="External"/><Relationship Id="rId4" Type="http://schemas.openxmlformats.org/officeDocument/2006/relationships/settings" Target="settings.xml"/><Relationship Id="rId9" Type="http://schemas.openxmlformats.org/officeDocument/2006/relationships/hyperlink" Target="http://www.bb-gi.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3616-5D99-45E8-B11F-4C4167C3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866</Words>
  <Characters>5357</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6175</CharactersWithSpaces>
  <SharedDoc>false</SharedDoc>
  <HLinks>
    <vt:vector size="30" baseType="variant">
      <vt:variant>
        <vt:i4>196628</vt:i4>
      </vt:variant>
      <vt:variant>
        <vt:i4>12</vt:i4>
      </vt:variant>
      <vt:variant>
        <vt:i4>0</vt:i4>
      </vt:variant>
      <vt:variant>
        <vt:i4>5</vt:i4>
      </vt:variant>
      <vt:variant>
        <vt:lpwstr>http://www.bb-gi.com/</vt:lpwstr>
      </vt:variant>
      <vt:variant>
        <vt:lpwstr/>
      </vt:variant>
      <vt:variant>
        <vt:i4>196628</vt:i4>
      </vt:variant>
      <vt:variant>
        <vt:i4>9</vt:i4>
      </vt:variant>
      <vt:variant>
        <vt:i4>0</vt:i4>
      </vt:variant>
      <vt:variant>
        <vt:i4>5</vt:i4>
      </vt:variant>
      <vt:variant>
        <vt:lpwstr>http://www.bb-gi.com/</vt:lpwstr>
      </vt:variant>
      <vt:variant>
        <vt:lpwstr/>
      </vt:variant>
      <vt:variant>
        <vt:i4>3342387</vt:i4>
      </vt:variant>
      <vt:variant>
        <vt:i4>6</vt:i4>
      </vt:variant>
      <vt:variant>
        <vt:i4>0</vt:i4>
      </vt:variant>
      <vt:variant>
        <vt:i4>5</vt:i4>
      </vt:variant>
      <vt:variant>
        <vt:lpwstr>http://www.morningstar.co.uk/uk/nsm</vt:lpwstr>
      </vt:variant>
      <vt:variant>
        <vt:lpwstr/>
      </vt:variant>
      <vt:variant>
        <vt:i4>3342387</vt:i4>
      </vt:variant>
      <vt:variant>
        <vt:i4>3</vt:i4>
      </vt:variant>
      <vt:variant>
        <vt:i4>0</vt:i4>
      </vt:variant>
      <vt:variant>
        <vt:i4>5</vt:i4>
      </vt:variant>
      <vt:variant>
        <vt:lpwstr>http://www.morningstar.co.uk/uk/nsm</vt:lpwstr>
      </vt:variant>
      <vt:variant>
        <vt:lpwstr/>
      </vt:variant>
      <vt:variant>
        <vt:i4>4259860</vt:i4>
      </vt:variant>
      <vt:variant>
        <vt:i4>0</vt:i4>
      </vt:variant>
      <vt:variant>
        <vt:i4>0</vt:i4>
      </vt:variant>
      <vt:variant>
        <vt:i4>5</vt:i4>
      </vt:variant>
      <vt:variant>
        <vt:lpwstr>http://www.bb-gi.co/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Jakob Gronkjaer</dc:creator>
  <cp:keywords> </cp:keywords>
  <cp:lastModifiedBy>Jakob Gronkjaer</cp:lastModifiedBy>
  <cp:revision>2</cp:revision>
  <cp:lastPrinted>2015-04-21T05:38:00Z</cp:lastPrinted>
  <dcterms:created xsi:type="dcterms:W3CDTF">2025-04-30T12:41:00Z</dcterms:created>
  <dcterms:modified xsi:type="dcterms:W3CDTF">2025-04-30T12:41:00Z</dcterms:modified>
</cp:coreProperties>
</file>